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BDA80" w14:textId="09FCDF45" w:rsidR="00C23D59" w:rsidRPr="00636944" w:rsidRDefault="00636944" w:rsidP="00C23D59">
      <w:pPr>
        <w:spacing w:line="480" w:lineRule="auto"/>
        <w:jc w:val="center"/>
      </w:pPr>
      <w:bookmarkStart w:id="0" w:name="_Toc201423798"/>
      <w:r>
        <w:t xml:space="preserve">Hegel on Fichte in the </w:t>
      </w:r>
      <w:r>
        <w:rPr>
          <w:i/>
          <w:iCs/>
        </w:rPr>
        <w:t xml:space="preserve">Differenzschrift </w:t>
      </w:r>
      <w:r>
        <w:t>Re-examined</w:t>
      </w:r>
    </w:p>
    <w:p w14:paraId="245B0759" w14:textId="77777777" w:rsidR="00C23D59" w:rsidRDefault="00C23D59" w:rsidP="00C23D59">
      <w:pPr>
        <w:spacing w:line="480" w:lineRule="auto"/>
      </w:pPr>
    </w:p>
    <w:p w14:paraId="279C85CD" w14:textId="1531DBFF" w:rsidR="00055012" w:rsidRDefault="00055012" w:rsidP="00055012">
      <w:pPr>
        <w:jc w:val="both"/>
      </w:pPr>
      <w:r>
        <w:rPr>
          <w:b/>
          <w:bCs/>
        </w:rPr>
        <w:t xml:space="preserve">ABSTRACT: </w:t>
      </w:r>
      <w:r>
        <w:t xml:space="preserve">Hegel’s first major philosophical work, </w:t>
      </w:r>
      <w:r>
        <w:rPr>
          <w:i/>
          <w:iCs/>
        </w:rPr>
        <w:t xml:space="preserve">The Difference Between Fichte and Schelling’s Systems of Philosophy </w:t>
      </w:r>
      <w:r>
        <w:t xml:space="preserve">(hereafter </w:t>
      </w:r>
      <w:r w:rsidR="00C50271">
        <w:t>‘</w:t>
      </w:r>
      <w:r>
        <w:rPr>
          <w:i/>
          <w:iCs/>
        </w:rPr>
        <w:t>Differenzschrift</w:t>
      </w:r>
      <w:r w:rsidR="00C50271">
        <w:t>’</w:t>
      </w:r>
      <w:r>
        <w:t xml:space="preserve">), is devoted to developing a rigorous interpretation of the merits and demerits of Hegel’s nearest German Idealist fellow travelers, Fichte and Schelling. The </w:t>
      </w:r>
      <w:r>
        <w:rPr>
          <w:i/>
          <w:iCs/>
        </w:rPr>
        <w:t xml:space="preserve">Differenzschrift </w:t>
      </w:r>
      <w:r>
        <w:t xml:space="preserve">is conventionally taken to be an ‘anti-Fichte book,’ wherein Hegel is primarily interested in developing systematic criticisms of Fichte’s philosophical system, the </w:t>
      </w:r>
      <w:r>
        <w:rPr>
          <w:i/>
          <w:iCs/>
        </w:rPr>
        <w:t xml:space="preserve">Wissenschaftslehre. </w:t>
      </w:r>
      <w:r>
        <w:t xml:space="preserve">This essay provides a reexamination of the </w:t>
      </w:r>
      <w:r>
        <w:rPr>
          <w:i/>
          <w:iCs/>
        </w:rPr>
        <w:t xml:space="preserve">Differenzschrift, </w:t>
      </w:r>
      <w:r>
        <w:t xml:space="preserve">arguing that Hegel’s interpretation of Fichte’s philosophy is far more positive than it is </w:t>
      </w:r>
      <w:r w:rsidR="00D347D2">
        <w:t>usually</w:t>
      </w:r>
      <w:r>
        <w:t xml:space="preserve"> taken to be. More specifically, the author identifies the ‘speculative side’ of Fichte’s philosophy to reside in his theory of self-positing, and especially, the characteristic of </w:t>
      </w:r>
      <w:r w:rsidRPr="00772ED2">
        <w:rPr>
          <w:i/>
          <w:iCs/>
        </w:rPr>
        <w:t>Gesetztseyn</w:t>
      </w:r>
      <w:r>
        <w:rPr>
          <w:i/>
          <w:iCs/>
        </w:rPr>
        <w:t xml:space="preserve">, </w:t>
      </w:r>
      <w:r>
        <w:t xml:space="preserve">which can be summarized as the thesis that the I </w:t>
      </w:r>
      <w:proofErr w:type="gramStart"/>
      <w:r>
        <w:rPr>
          <w:i/>
          <w:iCs/>
        </w:rPr>
        <w:t>is</w:t>
      </w:r>
      <w:proofErr w:type="gramEnd"/>
      <w:r>
        <w:rPr>
          <w:i/>
          <w:iCs/>
        </w:rPr>
        <w:t xml:space="preserve"> </w:t>
      </w:r>
      <w:r>
        <w:t xml:space="preserve">only its self-positing. This </w:t>
      </w:r>
      <w:r w:rsidR="00C50271">
        <w:t>reading</w:t>
      </w:r>
      <w:r>
        <w:t xml:space="preserve"> challenges a conventional interpretation of the </w:t>
      </w:r>
      <w:r>
        <w:rPr>
          <w:i/>
          <w:iCs/>
        </w:rPr>
        <w:t xml:space="preserve">Differenzschrift </w:t>
      </w:r>
      <w:r>
        <w:t xml:space="preserve">according to which the speculative aspects of Fichte’s philosophy are in essence already contained within Kant’s theory of transcendental apperception. </w:t>
      </w:r>
      <w:r w:rsidR="00D347D2">
        <w:t xml:space="preserve">The essay concludes with a reflection on the Fichtean legacy of Hegel’s “speculative identity proposition,” that the absolute must be conceived of as an identity of identity and difference. </w:t>
      </w:r>
    </w:p>
    <w:p w14:paraId="77C374AD" w14:textId="77777777" w:rsidR="00D347D2" w:rsidRDefault="00D347D2" w:rsidP="00055012">
      <w:pPr>
        <w:jc w:val="both"/>
      </w:pPr>
    </w:p>
    <w:p w14:paraId="21C86278" w14:textId="0571EA81" w:rsidR="00D347D2" w:rsidRDefault="00D347D2" w:rsidP="00055012">
      <w:pPr>
        <w:jc w:val="both"/>
      </w:pPr>
      <w:r>
        <w:rPr>
          <w:b/>
          <w:bCs/>
        </w:rPr>
        <w:t xml:space="preserve">Keywords: </w:t>
      </w:r>
      <w:r>
        <w:t xml:space="preserve">Fichte, Hegel, Kant, self-positing, </w:t>
      </w:r>
      <w:r w:rsidRPr="00772ED2">
        <w:rPr>
          <w:i/>
          <w:iCs/>
        </w:rPr>
        <w:t>Gesetztseyn</w:t>
      </w:r>
      <w:r>
        <w:rPr>
          <w:i/>
          <w:iCs/>
        </w:rPr>
        <w:t>.</w:t>
      </w:r>
      <w:r w:rsidR="0093450A">
        <w:rPr>
          <w:i/>
          <w:iCs/>
        </w:rPr>
        <w:t xml:space="preserve"> </w:t>
      </w:r>
    </w:p>
    <w:p w14:paraId="2F0DE709" w14:textId="77777777" w:rsidR="0093450A" w:rsidRDefault="0093450A" w:rsidP="00055012">
      <w:pPr>
        <w:jc w:val="both"/>
      </w:pPr>
    </w:p>
    <w:p w14:paraId="167809EB" w14:textId="50DB50CA" w:rsidR="0093450A" w:rsidRPr="0093450A" w:rsidRDefault="0093450A" w:rsidP="00055012">
      <w:pPr>
        <w:jc w:val="both"/>
        <w:rPr>
          <w:b/>
          <w:bCs/>
        </w:rPr>
      </w:pPr>
      <w:r>
        <w:rPr>
          <w:b/>
          <w:bCs/>
        </w:rPr>
        <w:t xml:space="preserve">*This is a penultimate draft. Please do not cite. </w:t>
      </w:r>
    </w:p>
    <w:p w14:paraId="779AFC5B" w14:textId="752500CC" w:rsidR="00055012" w:rsidRPr="00055012" w:rsidRDefault="00055012" w:rsidP="00055012">
      <w:pPr>
        <w:jc w:val="both"/>
      </w:pPr>
      <w:r>
        <w:br w:type="page"/>
      </w:r>
    </w:p>
    <w:p w14:paraId="57293689" w14:textId="08351609" w:rsidR="00C23D59" w:rsidRDefault="00C23D59" w:rsidP="00C23D59">
      <w:pPr>
        <w:pStyle w:val="Heading2"/>
      </w:pPr>
      <w:r w:rsidRPr="00772ED2">
        <w:lastRenderedPageBreak/>
        <w:t>§</w:t>
      </w:r>
      <w:r>
        <w:t>1</w:t>
      </w:r>
      <w:r w:rsidRPr="00772ED2">
        <w:t xml:space="preserve">.0 </w:t>
      </w:r>
      <w:r>
        <w:t>Introduction</w:t>
      </w:r>
    </w:p>
    <w:p w14:paraId="75547B8D" w14:textId="307EAC59" w:rsidR="00C23D59" w:rsidRDefault="00C23D59" w:rsidP="00030B4D">
      <w:pPr>
        <w:spacing w:line="480" w:lineRule="auto"/>
        <w:jc w:val="both"/>
      </w:pPr>
      <w:r>
        <w:t>Hegel’s first major philosophical work</w:t>
      </w:r>
      <w:r w:rsidR="00D3189E">
        <w:t>,</w:t>
      </w:r>
      <w:r>
        <w:t xml:space="preserve"> </w:t>
      </w:r>
      <w:r>
        <w:rPr>
          <w:i/>
          <w:iCs/>
        </w:rPr>
        <w:t xml:space="preserve">The Difference Between Fichte’s and Schelling’s Systems of Philosophy </w:t>
      </w:r>
      <w:r>
        <w:t>(</w:t>
      </w:r>
      <w:r w:rsidR="00661348">
        <w:t>hereafter</w:t>
      </w:r>
      <w:r>
        <w:t xml:space="preserve"> the ‘</w:t>
      </w:r>
      <w:r>
        <w:rPr>
          <w:i/>
          <w:iCs/>
        </w:rPr>
        <w:t>Differenzschrift</w:t>
      </w:r>
      <w:r>
        <w:t xml:space="preserve">’), seeks to establish </w:t>
      </w:r>
      <w:r w:rsidR="00030B4D">
        <w:t xml:space="preserve">two interrelated points: (1) that Fichte’s philosophical system is </w:t>
      </w:r>
      <w:r w:rsidR="00030B4D">
        <w:rPr>
          <w:i/>
          <w:iCs/>
        </w:rPr>
        <w:t xml:space="preserve">inadequate </w:t>
      </w:r>
      <w:r w:rsidR="00030B4D">
        <w:t>in the face of its speculative insight because it only develops a ‘reflective,’ ‘formal,’ and ‘subjective’ form of idealism; and (2) that we can infer from the nature of this inadequacy the shape of a more satisfying philosophical system, one which will think ‘the identity of identity and difference,’ which is exemplified in Schelling’s philosophy. It is through the relationship between these two points in Hegel’s argument that he clarifies the nature of the difference between Fichte and Schelling’s systems of philosophy</w:t>
      </w:r>
      <w:r w:rsidR="00D3189E">
        <w:t>,</w:t>
      </w:r>
      <w:r w:rsidR="00030B4D">
        <w:t xml:space="preserve"> and the central objective of the book is complete. Consequently, all systematic evaluations of Hegel’s argument essentially depend on how we are to interpret these two features of Hegel’s argument and their relation. </w:t>
      </w:r>
    </w:p>
    <w:p w14:paraId="2E70E9C9" w14:textId="34D1742B" w:rsidR="00B351E3" w:rsidRDefault="00030B4D" w:rsidP="00030B4D">
      <w:pPr>
        <w:spacing w:line="480" w:lineRule="auto"/>
        <w:jc w:val="both"/>
      </w:pPr>
      <w:r>
        <w:tab/>
        <w:t xml:space="preserve">There is a style of reading the </w:t>
      </w:r>
      <w:r>
        <w:rPr>
          <w:i/>
          <w:iCs/>
        </w:rPr>
        <w:t xml:space="preserve">Differenzschrift </w:t>
      </w:r>
      <w:r>
        <w:t xml:space="preserve">that I take to be pioneered by Robert Pippin in </w:t>
      </w:r>
      <w:r>
        <w:rPr>
          <w:i/>
          <w:iCs/>
        </w:rPr>
        <w:t xml:space="preserve">Hegel’s Idealism: Satisfactions of Self-Consciousness </w:t>
      </w:r>
      <w:r>
        <w:t>that thinks about the book in a Kantian way.</w:t>
      </w:r>
      <w:r w:rsidR="009E4B11">
        <w:rPr>
          <w:rStyle w:val="FootnoteReference"/>
        </w:rPr>
        <w:footnoteReference w:id="1"/>
      </w:r>
      <w:r>
        <w:t xml:space="preserve"> These interpretations really focus almost exclusively on the opening of the book, where Hegel introduces a discussion of the merits of the </w:t>
      </w:r>
      <w:r>
        <w:rPr>
          <w:i/>
          <w:iCs/>
        </w:rPr>
        <w:t xml:space="preserve">Wissenschaftslehre </w:t>
      </w:r>
      <w:r>
        <w:t xml:space="preserve">with some reflections on the transcendental unity of apperception in Kant’s </w:t>
      </w:r>
      <w:r>
        <w:rPr>
          <w:i/>
          <w:iCs/>
        </w:rPr>
        <w:t>Critique of Pure Reason.</w:t>
      </w:r>
      <w:r w:rsidR="009E4B11" w:rsidRPr="009E4B11">
        <w:rPr>
          <w:rStyle w:val="FootnoteReference"/>
        </w:rPr>
        <w:footnoteReference w:id="2"/>
      </w:r>
      <w:r w:rsidRPr="009E4B11">
        <w:t xml:space="preserve"> </w:t>
      </w:r>
      <w:r>
        <w:t xml:space="preserve">On this reading, Hegel introduces Fichte this way because it is really Kant, and not Fichte, who originally discovers what Hegel takes to be the core of </w:t>
      </w:r>
      <w:r w:rsidR="00B351E3">
        <w:t>German Idealist thought, the reflexive structure of self-consciousness.</w:t>
      </w:r>
      <w:r w:rsidR="00B67A39">
        <w:rPr>
          <w:rStyle w:val="FootnoteReference"/>
        </w:rPr>
        <w:footnoteReference w:id="3"/>
      </w:r>
      <w:r w:rsidR="00B351E3">
        <w:t xml:space="preserve"> The </w:t>
      </w:r>
      <w:r w:rsidR="00B351E3">
        <w:rPr>
          <w:i/>
          <w:iCs/>
        </w:rPr>
        <w:t xml:space="preserve">Wissenschaftslehre </w:t>
      </w:r>
      <w:r w:rsidR="00B351E3">
        <w:t xml:space="preserve">is, essentially, a mere development of this insight already </w:t>
      </w:r>
      <w:r w:rsidR="00B351E3">
        <w:lastRenderedPageBreak/>
        <w:t>expressed in Kant’s critical system of philosophy, and one that moreover weakens the insight by placing it within a pseudo-deductive quasi-geometric style of presentation. The ‘reflective</w:t>
      </w:r>
      <w:proofErr w:type="gramStart"/>
      <w:r w:rsidR="00B351E3">
        <w:t>,’ ‘</w:t>
      </w:r>
      <w:proofErr w:type="gramEnd"/>
      <w:r w:rsidR="00B351E3">
        <w:t xml:space="preserve">formal,’ and ‘subjective’ features of Fichte’s account that Hegel targets for criticism are accordingly largely Fichtean innovations, but the speculative kernel of Fichte’s philosophy is already found within Kant. Hegel’s suggestion that perhaps Schelling’s philosophical system is more satisfying is merely an expression of his belief that philosophy must return to a clarification of the identity and difference at work in self-consciousness. Hegel of course eventually realizes that the philosophy that </w:t>
      </w:r>
      <w:r w:rsidR="00B10A82">
        <w:t xml:space="preserve">truly </w:t>
      </w:r>
      <w:r w:rsidR="00B351E3">
        <w:t xml:space="preserve">satisfies this requirement is not Schellingian </w:t>
      </w:r>
      <w:proofErr w:type="gramStart"/>
      <w:r w:rsidR="00B351E3">
        <w:rPr>
          <w:i/>
          <w:iCs/>
        </w:rPr>
        <w:t>Naturphilosophie</w:t>
      </w:r>
      <w:proofErr w:type="gramEnd"/>
      <w:r w:rsidR="00B351E3">
        <w:rPr>
          <w:i/>
          <w:iCs/>
        </w:rPr>
        <w:t xml:space="preserve"> </w:t>
      </w:r>
      <w:r w:rsidR="00B351E3">
        <w:t xml:space="preserve">but his own mature dialectical system first elaborated within the </w:t>
      </w:r>
      <w:r w:rsidR="00B351E3">
        <w:rPr>
          <w:i/>
          <w:iCs/>
        </w:rPr>
        <w:t xml:space="preserve">Phenomenology of Spirit. </w:t>
      </w:r>
    </w:p>
    <w:p w14:paraId="053C11E1" w14:textId="626267BE" w:rsidR="00B351E3" w:rsidRDefault="00B351E3" w:rsidP="00030B4D">
      <w:pPr>
        <w:spacing w:line="480" w:lineRule="auto"/>
        <w:jc w:val="both"/>
      </w:pPr>
      <w:r>
        <w:tab/>
        <w:t xml:space="preserve">In spite of its almost ubiquitous acceptance within the secondary literature, I do not find this Kantian interpretation of the </w:t>
      </w:r>
      <w:r>
        <w:rPr>
          <w:i/>
          <w:iCs/>
        </w:rPr>
        <w:t xml:space="preserve">Differenzschrift </w:t>
      </w:r>
      <w:r>
        <w:t>self-evident or persuasive.</w:t>
      </w:r>
      <w:r w:rsidR="00A302D7">
        <w:rPr>
          <w:rStyle w:val="FootnoteReference"/>
        </w:rPr>
        <w:footnoteReference w:id="4"/>
      </w:r>
      <w:r>
        <w:t xml:space="preserve"> What primarily troubles this interpretation is the fact that Hegel clearly thought that there was a genuine philosophical advance in the trajectory from Kant to Fichte. Hegel did not think of Fichte as a</w:t>
      </w:r>
      <w:r w:rsidR="00DD7E06">
        <w:t xml:space="preserve"> mere popularizer in the vein of Wolff or Reinhold, but as the height of philosophical sophistication </w:t>
      </w:r>
      <w:r w:rsidR="008B2D36">
        <w:t xml:space="preserve">for </w:t>
      </w:r>
      <w:r w:rsidR="009E4B11">
        <w:t>his</w:t>
      </w:r>
      <w:r w:rsidR="008B2D36">
        <w:t xml:space="preserve"> time, </w:t>
      </w:r>
      <w:r w:rsidR="00DD7E06">
        <w:t>and remarkably close to Hegel’s own mature philosophy. If that is so, then it must be that what Hegel takes to be Fichte’s speculative insight cannot be attributed to Kant, in spite of an obvious family resemblance between their views</w:t>
      </w:r>
      <w:r w:rsidR="00A83920">
        <w:t>.</w:t>
      </w:r>
      <w:r w:rsidR="00DD7E06">
        <w:t xml:space="preserve"> </w:t>
      </w:r>
      <w:r w:rsidR="00A83920">
        <w:t>In short,</w:t>
      </w:r>
      <w:r w:rsidR="00DD7E06">
        <w:t xml:space="preserve"> </w:t>
      </w:r>
      <w:r w:rsidR="009E4B11">
        <w:t xml:space="preserve">there </w:t>
      </w:r>
      <w:r w:rsidR="00DD7E06">
        <w:t xml:space="preserve">must be something </w:t>
      </w:r>
      <w:r w:rsidR="009E4B11">
        <w:t xml:space="preserve">of value </w:t>
      </w:r>
      <w:r w:rsidR="00DD7E06">
        <w:t xml:space="preserve">particular to the </w:t>
      </w:r>
      <w:r w:rsidR="00DD7E06">
        <w:rPr>
          <w:i/>
          <w:iCs/>
        </w:rPr>
        <w:t xml:space="preserve">Wissenschaftslehre. </w:t>
      </w:r>
      <w:r w:rsidR="00DD7E06">
        <w:t xml:space="preserve">In this essay, I propose that what Hegel regarded as Fichte’s </w:t>
      </w:r>
      <w:r w:rsidR="00DD7E06">
        <w:lastRenderedPageBreak/>
        <w:t>speculative insight was Fichte’s theory of the self-positing of the I, found within the first principle (</w:t>
      </w:r>
      <w:r w:rsidR="00DD7E06">
        <w:rPr>
          <w:i/>
          <w:iCs/>
        </w:rPr>
        <w:t>Grundsatz</w:t>
      </w:r>
      <w:r w:rsidR="00DD7E06">
        <w:t xml:space="preserve">) of the </w:t>
      </w:r>
      <w:r w:rsidR="00DD7E06">
        <w:rPr>
          <w:i/>
          <w:iCs/>
        </w:rPr>
        <w:t xml:space="preserve">Wissenschaftslehre. </w:t>
      </w:r>
      <w:r w:rsidR="00DD7E06">
        <w:t xml:space="preserve">To defend this interpretation, I must try to establish why I take Hegel to believe that (1) Kant’s philosophical elaboration of self-consciousness in the Transcendental Deduction of the </w:t>
      </w:r>
      <w:r w:rsidR="00DD7E06">
        <w:rPr>
          <w:i/>
          <w:iCs/>
        </w:rPr>
        <w:t xml:space="preserve">Critique of Pure Reason </w:t>
      </w:r>
      <w:r w:rsidR="00DD7E06">
        <w:t xml:space="preserve">is less </w:t>
      </w:r>
      <w:r w:rsidR="00B10A82">
        <w:t xml:space="preserve">philosophically </w:t>
      </w:r>
      <w:r w:rsidR="00DD7E06">
        <w:t xml:space="preserve">satisfying than Fichte’s theory of self-positing; and (2) that Fichte had somehow spoiled the insight of self-positing in the further </w:t>
      </w:r>
      <w:r w:rsidR="00B10A82">
        <w:t xml:space="preserve">elaboration </w:t>
      </w:r>
      <w:r w:rsidR="00DD7E06">
        <w:t>of his philosophical system that led to his ‘subjective idealism.’</w:t>
      </w:r>
    </w:p>
    <w:p w14:paraId="4998B1C0" w14:textId="7432C0DB" w:rsidR="007A3BDC" w:rsidRPr="00936B1C" w:rsidRDefault="00DD7E06" w:rsidP="00030B4D">
      <w:pPr>
        <w:spacing w:line="480" w:lineRule="auto"/>
        <w:jc w:val="both"/>
        <w:rPr>
          <w:i/>
          <w:iCs/>
        </w:rPr>
      </w:pPr>
      <w:r>
        <w:tab/>
        <w:t xml:space="preserve">This essay is primarily aimed at building up a Fichtean interpretation of the </w:t>
      </w:r>
      <w:r>
        <w:rPr>
          <w:i/>
          <w:iCs/>
        </w:rPr>
        <w:t xml:space="preserve">Differenzshrift </w:t>
      </w:r>
      <w:r>
        <w:t xml:space="preserve">rather than refuting its </w:t>
      </w:r>
      <w:r w:rsidR="008B2D36">
        <w:t xml:space="preserve">neighboring </w:t>
      </w:r>
      <w:r>
        <w:t xml:space="preserve">Kantian alternative. </w:t>
      </w:r>
      <w:r w:rsidR="008B2D36">
        <w:t xml:space="preserve">As such, the central ambition of the essay is to clarify the two points mentioned in the opening of the essay, namely, why Hegel regards Fichte’s </w:t>
      </w:r>
      <w:r w:rsidR="008B2D36">
        <w:rPr>
          <w:i/>
          <w:iCs/>
        </w:rPr>
        <w:t xml:space="preserve">Wissenschaftslehre </w:t>
      </w:r>
      <w:r w:rsidR="008B2D36">
        <w:t xml:space="preserve">as ultimately philosophically dissatisfying and the form of solution that this dissatisfaction implies. Here I think that the Fichtean interpretation has a real advantage because it can tell a much tighter story about the connection between these two points. </w:t>
      </w:r>
      <w:r w:rsidR="00212AFC">
        <w:t xml:space="preserve">The speculative element of Fichte’s </w:t>
      </w:r>
      <w:r w:rsidR="00212AFC">
        <w:rPr>
          <w:i/>
          <w:iCs/>
        </w:rPr>
        <w:t xml:space="preserve">Wissenschaftslehre </w:t>
      </w:r>
      <w:r w:rsidR="00212AFC">
        <w:t>according to Hegel is his theory of self-positing that he develops in the first principle (</w:t>
      </w:r>
      <w:r w:rsidR="00212AFC">
        <w:rPr>
          <w:i/>
          <w:iCs/>
        </w:rPr>
        <w:t>Grundsatz</w:t>
      </w:r>
      <w:r w:rsidR="00212AFC" w:rsidRPr="00936B1C">
        <w:t>)</w:t>
      </w:r>
      <w:r w:rsidR="00212AFC">
        <w:rPr>
          <w:i/>
          <w:iCs/>
        </w:rPr>
        <w:t xml:space="preserve"> </w:t>
      </w:r>
      <w:r w:rsidR="00212AFC">
        <w:t xml:space="preserve">of the system, while the reflective aspect of Fichte’s theory is how he develops this insight, first into the coordinated system of Fichte’s three principles (‘limitative synthesis’) and the subsequent elaboration of </w:t>
      </w:r>
      <w:r w:rsidR="00B10A82">
        <w:t>his</w:t>
      </w:r>
      <w:r w:rsidR="00212AFC">
        <w:t xml:space="preserve"> philosophical system. </w:t>
      </w:r>
      <w:r w:rsidR="00685CDC">
        <w:t xml:space="preserve">If this interpretation is correct, then there are distinct rational advantages of Fichte’s theory of self-positing against Kant’s theory of transcendental apperception developed in the </w:t>
      </w:r>
      <w:r w:rsidR="00685CDC">
        <w:rPr>
          <w:i/>
          <w:iCs/>
        </w:rPr>
        <w:t xml:space="preserve">Critique of Pure Reason. </w:t>
      </w:r>
      <w:r w:rsidR="00685CDC">
        <w:t xml:space="preserve">Thankfully, Hegel already provides a suitable framework for explaining these advantages in his theory of philosophical rationality </w:t>
      </w:r>
      <w:r w:rsidR="00B10A82">
        <w:t>presented</w:t>
      </w:r>
      <w:r w:rsidR="00685CDC">
        <w:t xml:space="preserve"> the </w:t>
      </w:r>
      <w:r w:rsidR="00685CDC">
        <w:rPr>
          <w:i/>
          <w:iCs/>
        </w:rPr>
        <w:t xml:space="preserve">Differenzschrift. </w:t>
      </w:r>
      <w:r w:rsidR="008B2D36">
        <w:t xml:space="preserve">If self-positing </w:t>
      </w:r>
      <w:r w:rsidR="008B2D36">
        <w:rPr>
          <w:i/>
          <w:iCs/>
        </w:rPr>
        <w:t xml:space="preserve">is </w:t>
      </w:r>
      <w:r w:rsidR="008B2D36">
        <w:t xml:space="preserve">thinking the identity of identity and difference, as the Fichtean interpretation suggests, then Schelling’s philosophy is praised </w:t>
      </w:r>
      <w:r w:rsidR="008B2D36">
        <w:rPr>
          <w:i/>
          <w:iCs/>
        </w:rPr>
        <w:t xml:space="preserve">as </w:t>
      </w:r>
      <w:r w:rsidR="008B2D36">
        <w:t xml:space="preserve">providing a more satisfying (less ‘subjective’) theory of self-positing. Of course, in the Fichtean interpretation too, Hegel eventually comes to realize that Schelling’s </w:t>
      </w:r>
      <w:r w:rsidR="008B2D36">
        <w:lastRenderedPageBreak/>
        <w:t xml:space="preserve">philosophy makes a parallel ‘objective’ mistake, and that the real solution is only to be found within Hegel’s own absolute idealism. But if the Fichtean interpretation of the </w:t>
      </w:r>
      <w:r w:rsidR="008B2D36">
        <w:rPr>
          <w:i/>
          <w:iCs/>
        </w:rPr>
        <w:t xml:space="preserve">Differenzschrift </w:t>
      </w:r>
      <w:r w:rsidR="008B2D36">
        <w:t xml:space="preserve">(and therefore the entire arc of German philosophy from Kant to Hegel) is correct, </w:t>
      </w:r>
      <w:r w:rsidR="007A3BDC">
        <w:t xml:space="preserve">then we ought to regard Hegel’s mature philosophy as itself an exceedingly thorough and systematic interpretation of the concept of self-positing that we originally find in the </w:t>
      </w:r>
      <w:r w:rsidR="007A3BDC">
        <w:rPr>
          <w:i/>
          <w:iCs/>
        </w:rPr>
        <w:t xml:space="preserve">Wissenschaftslehre. </w:t>
      </w:r>
      <w:r w:rsidR="007A3BDC">
        <w:t xml:space="preserve">In short, the Fichtean interpretation of the </w:t>
      </w:r>
      <w:r w:rsidR="007A3BDC">
        <w:rPr>
          <w:i/>
          <w:iCs/>
        </w:rPr>
        <w:t xml:space="preserve">Differenzschrift </w:t>
      </w:r>
      <w:r w:rsidR="007A3BDC">
        <w:t xml:space="preserve">concurs with Hegel’s claim much later in the </w:t>
      </w:r>
      <w:r w:rsidR="007A3BDC">
        <w:rPr>
          <w:i/>
          <w:iCs/>
        </w:rPr>
        <w:t xml:space="preserve">Science of Logic </w:t>
      </w:r>
      <w:r w:rsidR="007A3BDC">
        <w:t xml:space="preserve">that the </w:t>
      </w:r>
      <w:r w:rsidR="00B10A82">
        <w:t>C</w:t>
      </w:r>
      <w:r w:rsidR="007A3BDC">
        <w:t xml:space="preserve">oncept </w:t>
      </w:r>
      <w:r w:rsidR="007A3BDC">
        <w:rPr>
          <w:i/>
          <w:iCs/>
        </w:rPr>
        <w:t xml:space="preserve">is </w:t>
      </w:r>
      <w:r w:rsidR="007A3BDC">
        <w:t>the I.</w:t>
      </w:r>
      <w:r w:rsidR="00A83920">
        <w:rPr>
          <w:rStyle w:val="FootnoteReference"/>
        </w:rPr>
        <w:footnoteReference w:id="5"/>
      </w:r>
    </w:p>
    <w:p w14:paraId="49E03F1B" w14:textId="5CF3B456" w:rsidR="00C23D59" w:rsidRDefault="00C23D59" w:rsidP="00C23D59">
      <w:pPr>
        <w:spacing w:line="480" w:lineRule="auto"/>
        <w:jc w:val="both"/>
      </w:pPr>
    </w:p>
    <w:p w14:paraId="7763D33F" w14:textId="2FD00B43" w:rsidR="00C23D59" w:rsidRPr="00772ED2" w:rsidRDefault="00C23D59" w:rsidP="00C23D59">
      <w:pPr>
        <w:pStyle w:val="Heading2"/>
      </w:pPr>
      <w:r w:rsidRPr="00772ED2">
        <w:t xml:space="preserve">§2.0 The </w:t>
      </w:r>
      <w:r w:rsidRPr="002B53B8">
        <w:rPr>
          <w:i/>
          <w:iCs/>
        </w:rPr>
        <w:t>Differenzs</w:t>
      </w:r>
      <w:r w:rsidR="00C22698">
        <w:rPr>
          <w:i/>
          <w:iCs/>
        </w:rPr>
        <w:t>c</w:t>
      </w:r>
      <w:r w:rsidRPr="002B53B8">
        <w:rPr>
          <w:i/>
          <w:iCs/>
        </w:rPr>
        <w:t>hrift</w:t>
      </w:r>
      <w:bookmarkEnd w:id="0"/>
    </w:p>
    <w:p w14:paraId="4BAC1C23" w14:textId="3BBB542C" w:rsidR="00C23D59" w:rsidRPr="00772ED2" w:rsidRDefault="00A862CC" w:rsidP="00C23D59">
      <w:pPr>
        <w:spacing w:line="480" w:lineRule="auto"/>
        <w:jc w:val="both"/>
      </w:pPr>
      <w:r>
        <w:t>Let</w:t>
      </w:r>
      <w:r w:rsidR="00E95700">
        <w:t xml:space="preserve"> u</w:t>
      </w:r>
      <w:r>
        <w:t xml:space="preserve">s begin with the basic </w:t>
      </w:r>
      <w:r w:rsidR="00E95700">
        <w:t xml:space="preserve">features of Hegel’s philosophical theory presented in the </w:t>
      </w:r>
      <w:r w:rsidR="00E95700">
        <w:rPr>
          <w:i/>
          <w:iCs/>
        </w:rPr>
        <w:t xml:space="preserve">Differenzschrift </w:t>
      </w:r>
      <w:r w:rsidR="00E95700">
        <w:t xml:space="preserve">as well as its desiderata, which I take to be a shared interpretative scheme held in common between the Kantian and Fichtean paradigms. </w:t>
      </w:r>
      <w:r w:rsidR="00C23D59" w:rsidRPr="00772ED2">
        <w:t xml:space="preserve">Hegel publishes the </w:t>
      </w:r>
      <w:r w:rsidR="00C23D59" w:rsidRPr="00772ED2">
        <w:rPr>
          <w:i/>
          <w:iCs/>
        </w:rPr>
        <w:t>Differenzs</w:t>
      </w:r>
      <w:r w:rsidR="00C22698">
        <w:rPr>
          <w:i/>
          <w:iCs/>
        </w:rPr>
        <w:t>c</w:t>
      </w:r>
      <w:r w:rsidR="00C23D59" w:rsidRPr="00772ED2">
        <w:rPr>
          <w:i/>
          <w:iCs/>
        </w:rPr>
        <w:t xml:space="preserve">hrift </w:t>
      </w:r>
      <w:r w:rsidR="00C23D59" w:rsidRPr="00772ED2">
        <w:t xml:space="preserve">in 1801. The </w:t>
      </w:r>
      <w:r w:rsidR="00C23D59" w:rsidRPr="00772ED2">
        <w:rPr>
          <w:i/>
          <w:iCs/>
        </w:rPr>
        <w:t>Differenzs</w:t>
      </w:r>
      <w:r w:rsidR="00C22698">
        <w:rPr>
          <w:i/>
          <w:iCs/>
        </w:rPr>
        <w:t>c</w:t>
      </w:r>
      <w:r w:rsidR="00C23D59" w:rsidRPr="00772ED2">
        <w:rPr>
          <w:i/>
          <w:iCs/>
        </w:rPr>
        <w:t>hrift</w:t>
      </w:r>
      <w:r w:rsidR="00C23D59" w:rsidRPr="00772ED2">
        <w:t xml:space="preserve"> is Hegel’s first major philosophical work, and, in many respects, it is deeply responsive to the specific circumstances of when it was written. The central significance of the text resides above all in how it describes the relationship between Hegel’s fellow German Idealists, Fichte and Schelling</w:t>
      </w:r>
      <w:r w:rsidR="00E95700">
        <w:t>, as its title suggests</w:t>
      </w:r>
      <w:r w:rsidR="00C23D59" w:rsidRPr="00772ED2">
        <w:t xml:space="preserve">. </w:t>
      </w:r>
      <w:r w:rsidR="00E95700">
        <w:t>The historical context for this endeavor is that s</w:t>
      </w:r>
      <w:r w:rsidR="00C23D59" w:rsidRPr="00772ED2">
        <w:t xml:space="preserve">hortly after taking over Reinhold’s chair of critical philosophy at the University of Jena, Fichte published an exposition of his philosophical system, the </w:t>
      </w:r>
      <w:r w:rsidR="00C23D59" w:rsidRPr="00772ED2">
        <w:rPr>
          <w:i/>
          <w:iCs/>
        </w:rPr>
        <w:t>Wissenschaftslehre</w:t>
      </w:r>
      <w:r w:rsidR="00C23D59" w:rsidRPr="00772ED2">
        <w:t xml:space="preserve">, in the form of his </w:t>
      </w:r>
      <w:r w:rsidR="00C23D59" w:rsidRPr="00772ED2">
        <w:rPr>
          <w:i/>
          <w:iCs/>
        </w:rPr>
        <w:t xml:space="preserve">Foundation of the Entire Wissenschaftslehre </w:t>
      </w:r>
      <w:r w:rsidR="00C23D59" w:rsidRPr="00772ED2">
        <w:t xml:space="preserve">in 1794-1795. Fichte’s lectures and philosophical outlook were both massively popular and controversial, attracting both enthusiastic proponents and harsh criticism. Schelling emerges in this context as the preeminent defender and expositor of </w:t>
      </w:r>
      <w:r w:rsidR="00C23D59" w:rsidRPr="00772ED2">
        <w:lastRenderedPageBreak/>
        <w:t xml:space="preserve">Fichte’s system, launching his own career as a philosophical </w:t>
      </w:r>
      <w:r w:rsidR="00C23D59" w:rsidRPr="00772ED2">
        <w:rPr>
          <w:i/>
          <w:iCs/>
        </w:rPr>
        <w:t xml:space="preserve">wunderkind. </w:t>
      </w:r>
      <w:r w:rsidR="00C23D59" w:rsidRPr="00772ED2">
        <w:t>The period of roughly 1795</w:t>
      </w:r>
      <w:r w:rsidR="00B10A82">
        <w:t>-</w:t>
      </w:r>
      <w:r w:rsidR="00C23D59" w:rsidRPr="00772ED2">
        <w:t xml:space="preserve">1800 is marked by a tense but nevertheless productive philosophical collaboration between Fichte and Schelling against their various detractors and opponents. </w:t>
      </w:r>
    </w:p>
    <w:p w14:paraId="24C0351F" w14:textId="68F24891" w:rsidR="00C23D59" w:rsidRPr="00772ED2" w:rsidRDefault="00C23D59" w:rsidP="00C23D59">
      <w:pPr>
        <w:spacing w:line="480" w:lineRule="auto"/>
        <w:jc w:val="both"/>
      </w:pPr>
      <w:r w:rsidRPr="00772ED2">
        <w:tab/>
        <w:t xml:space="preserve">The alliance between Fichte and Schelling was strained significantly by deep underlying philosophical disagreement. Fichte saw the </w:t>
      </w:r>
      <w:r w:rsidRPr="00772ED2">
        <w:rPr>
          <w:i/>
          <w:iCs/>
        </w:rPr>
        <w:t xml:space="preserve">Wissenschaftslehre </w:t>
      </w:r>
      <w:r w:rsidRPr="00772ED2">
        <w:t xml:space="preserve">as offering the first </w:t>
      </w:r>
      <w:r w:rsidRPr="00772ED2">
        <w:rPr>
          <w:i/>
          <w:iCs/>
        </w:rPr>
        <w:t xml:space="preserve">true </w:t>
      </w:r>
      <w:r w:rsidRPr="00772ED2">
        <w:t>refutation of Spinozism through the demonstration of the fundamental priority of transcendental subjectivity—“I-hood,” in Fichte’s language.</w:t>
      </w:r>
      <w:r w:rsidRPr="00772ED2">
        <w:rPr>
          <w:rStyle w:val="FootnoteReference"/>
          <w:rFonts w:eastAsia="Aptos"/>
        </w:rPr>
        <w:footnoteReference w:id="6"/>
      </w:r>
      <w:r w:rsidRPr="00772ED2">
        <w:t xml:space="preserve"> Schelling, to the contrary, saw in the </w:t>
      </w:r>
      <w:r w:rsidRPr="00772ED2">
        <w:rPr>
          <w:i/>
          <w:iCs/>
        </w:rPr>
        <w:t xml:space="preserve">Wissenschaftslehre </w:t>
      </w:r>
      <w:r w:rsidRPr="00772ED2">
        <w:t xml:space="preserve">the opportunity to </w:t>
      </w:r>
      <w:r w:rsidRPr="00772ED2">
        <w:rPr>
          <w:i/>
          <w:iCs/>
        </w:rPr>
        <w:t xml:space="preserve">correct </w:t>
      </w:r>
      <w:r w:rsidRPr="00772ED2">
        <w:t xml:space="preserve">Spinozism, and in Schelling’s work during this period there is always a latent fusion of horizons between the </w:t>
      </w:r>
      <w:r w:rsidRPr="00772ED2">
        <w:rPr>
          <w:i/>
          <w:iCs/>
        </w:rPr>
        <w:t xml:space="preserve">Wissenschaftslehre </w:t>
      </w:r>
      <w:r w:rsidRPr="00772ED2">
        <w:t>and Spinozism.</w:t>
      </w:r>
      <w:r w:rsidRPr="00772ED2">
        <w:rPr>
          <w:rStyle w:val="FootnoteReference"/>
          <w:rFonts w:eastAsia="Aptos"/>
        </w:rPr>
        <w:footnoteReference w:id="7"/>
      </w:r>
      <w:r w:rsidRPr="00772ED2">
        <w:t xml:space="preserve"> This tension is expressed above all in Schelling’s </w:t>
      </w:r>
      <w:r w:rsidRPr="00772ED2">
        <w:rPr>
          <w:i/>
          <w:iCs/>
        </w:rPr>
        <w:t xml:space="preserve">Naturphilosophie. </w:t>
      </w:r>
      <w:r w:rsidRPr="00772ED2">
        <w:t xml:space="preserve">Initially, Schelling presented his philosophy of nature as an extension of Fichte’s philosophy into a domain of philosophical inquiry heretofore untouched by Fichte himself, an account of the emergence and development of the transcendental subject out of material nature. Fichte sensed that in spite of Schelling’s protestations that this philosophy of nature required the gradual abandonment of the epistemological restrictions that Fichte had established in the </w:t>
      </w:r>
      <w:r w:rsidRPr="00772ED2">
        <w:rPr>
          <w:i/>
          <w:iCs/>
        </w:rPr>
        <w:t xml:space="preserve">Wissenschaftslehre, </w:t>
      </w:r>
      <w:r w:rsidRPr="00772ED2">
        <w:t>in particular, the tenet that philosophy cannot go past the I to try to explain its structure in virtue of anything else.</w:t>
      </w:r>
      <w:r w:rsidRPr="00772ED2">
        <w:rPr>
          <w:rStyle w:val="FootnoteReference"/>
          <w:rFonts w:eastAsia="Aptos"/>
        </w:rPr>
        <w:footnoteReference w:id="8"/>
      </w:r>
      <w:r w:rsidRPr="00772ED2">
        <w:t xml:space="preserve"> For a while Schelling denied that there was any fundamental tension between his own </w:t>
      </w:r>
      <w:r w:rsidRPr="00772ED2">
        <w:rPr>
          <w:i/>
          <w:iCs/>
        </w:rPr>
        <w:t xml:space="preserve">Naturphilosophie </w:t>
      </w:r>
      <w:r w:rsidRPr="00772ED2">
        <w:t xml:space="preserve">and the </w:t>
      </w:r>
      <w:r w:rsidRPr="00772ED2">
        <w:rPr>
          <w:i/>
          <w:iCs/>
        </w:rPr>
        <w:t xml:space="preserve">Wissenschaftslehre, </w:t>
      </w:r>
      <w:r w:rsidRPr="00772ED2">
        <w:t xml:space="preserve">and in works like his </w:t>
      </w:r>
      <w:r w:rsidRPr="00772ED2">
        <w:rPr>
          <w:i/>
          <w:iCs/>
        </w:rPr>
        <w:t xml:space="preserve">System of Transcendental </w:t>
      </w:r>
      <w:r w:rsidRPr="00772ED2">
        <w:rPr>
          <w:i/>
          <w:iCs/>
        </w:rPr>
        <w:lastRenderedPageBreak/>
        <w:t xml:space="preserve">Idealism </w:t>
      </w:r>
      <w:r w:rsidRPr="00772ED2">
        <w:t xml:space="preserve">(1800) he presented transcendental inquiry and </w:t>
      </w:r>
      <w:r w:rsidRPr="00772ED2">
        <w:rPr>
          <w:i/>
          <w:iCs/>
        </w:rPr>
        <w:t xml:space="preserve">Naturphilosophie </w:t>
      </w:r>
      <w:r w:rsidRPr="00772ED2">
        <w:t>as akin to two sides of the same coin.</w:t>
      </w:r>
      <w:r w:rsidR="00E95700">
        <w:rPr>
          <w:rStyle w:val="FootnoteReference"/>
        </w:rPr>
        <w:footnoteReference w:id="9"/>
      </w:r>
      <w:r w:rsidRPr="00772ED2">
        <w:t xml:space="preserve"> For Fichte, this was unacceptable, and tantamount to denying the priority of I-hood that he had previously established in the </w:t>
      </w:r>
      <w:r w:rsidRPr="00772ED2">
        <w:rPr>
          <w:i/>
          <w:iCs/>
        </w:rPr>
        <w:t xml:space="preserve">Wissenschaftslehre, </w:t>
      </w:r>
      <w:r w:rsidRPr="00772ED2">
        <w:t xml:space="preserve">and the philosophical collaboration between Fichte and Schelling gradually broke down into bitter conflict over the course of the early 1800s. </w:t>
      </w:r>
    </w:p>
    <w:p w14:paraId="7CC2A7E5" w14:textId="5FA071E2" w:rsidR="00C23D59" w:rsidRPr="00772ED2" w:rsidRDefault="00C23D59" w:rsidP="00C23D59">
      <w:pPr>
        <w:spacing w:line="480" w:lineRule="auto"/>
        <w:jc w:val="both"/>
      </w:pPr>
      <w:r w:rsidRPr="00772ED2">
        <w:tab/>
        <w:t xml:space="preserve">Hegel’s </w:t>
      </w:r>
      <w:r w:rsidRPr="00772ED2">
        <w:rPr>
          <w:i/>
          <w:iCs/>
        </w:rPr>
        <w:t>Differenzs</w:t>
      </w:r>
      <w:r w:rsidR="00C22698">
        <w:rPr>
          <w:i/>
          <w:iCs/>
        </w:rPr>
        <w:t>c</w:t>
      </w:r>
      <w:r w:rsidRPr="00772ED2">
        <w:rPr>
          <w:i/>
          <w:iCs/>
        </w:rPr>
        <w:t xml:space="preserve">hrift </w:t>
      </w:r>
      <w:r w:rsidRPr="00772ED2">
        <w:t xml:space="preserve">emerges in this context as an insistence on the real difference between Fichte’s and Schelling’s philosophical systems and a defense of the latter. The </w:t>
      </w:r>
      <w:r w:rsidRPr="00772ED2">
        <w:rPr>
          <w:i/>
          <w:iCs/>
        </w:rPr>
        <w:t>Differenzs</w:t>
      </w:r>
      <w:r w:rsidR="00C22698">
        <w:rPr>
          <w:i/>
          <w:iCs/>
        </w:rPr>
        <w:t>c</w:t>
      </w:r>
      <w:r w:rsidRPr="00772ED2">
        <w:rPr>
          <w:i/>
          <w:iCs/>
        </w:rPr>
        <w:t xml:space="preserve">hrift </w:t>
      </w:r>
      <w:r w:rsidRPr="00772ED2">
        <w:t xml:space="preserve">is accordingly regarded as an ‘anti-Fichte’ book. There is some truth to this claim, as after all in this book Hegel does propose various objections to the </w:t>
      </w:r>
      <w:r w:rsidRPr="00772ED2">
        <w:rPr>
          <w:i/>
          <w:iCs/>
        </w:rPr>
        <w:t xml:space="preserve">Wissenschaftslehre, </w:t>
      </w:r>
      <w:r w:rsidRPr="00772ED2">
        <w:t xml:space="preserve">but it is an important aspect of Hegel’s account that the </w:t>
      </w:r>
      <w:r w:rsidRPr="00772ED2">
        <w:rPr>
          <w:i/>
          <w:iCs/>
        </w:rPr>
        <w:t>Differenzs</w:t>
      </w:r>
      <w:r w:rsidR="00C22698">
        <w:rPr>
          <w:i/>
          <w:iCs/>
        </w:rPr>
        <w:t>c</w:t>
      </w:r>
      <w:r w:rsidRPr="00772ED2">
        <w:rPr>
          <w:i/>
          <w:iCs/>
        </w:rPr>
        <w:t xml:space="preserve">hrift </w:t>
      </w:r>
      <w:r w:rsidRPr="00772ED2">
        <w:t xml:space="preserve">does not offer a merely external critique of Fichte. Here is a representative passage: </w:t>
      </w:r>
    </w:p>
    <w:p w14:paraId="52B000E3" w14:textId="77777777" w:rsidR="00C23D59" w:rsidRPr="00772ED2" w:rsidRDefault="00C23D59" w:rsidP="00C23D59">
      <w:pPr>
        <w:ind w:left="720" w:right="720"/>
        <w:jc w:val="both"/>
      </w:pPr>
      <w:r w:rsidRPr="00772ED2">
        <w:t>These are the two sides of Fichte’s system. On the one hand it has established the pure concept of Reason and of speculation and so made philosophy possible. On the other hand, it has equated Reason with pure consciousness and raised Reason as apprehended in a finite shape to the status of principle. That these two sides should be distinguished must be shown to be an inner necessity of the problem itself [</w:t>
      </w:r>
      <w:r w:rsidRPr="00772ED2">
        <w:rPr>
          <w:i/>
          <w:iCs/>
        </w:rPr>
        <w:t xml:space="preserve">die Sache </w:t>
      </w:r>
      <w:proofErr w:type="gramStart"/>
      <w:r w:rsidRPr="00772ED2">
        <w:rPr>
          <w:i/>
          <w:iCs/>
        </w:rPr>
        <w:t>selbst</w:t>
      </w:r>
      <w:r w:rsidRPr="00772ED2">
        <w:t>]…</w:t>
      </w:r>
      <w:proofErr w:type="gramEnd"/>
      <w:r w:rsidRPr="00772ED2">
        <w:rPr>
          <w:rStyle w:val="FootnoteReference"/>
          <w:rFonts w:eastAsia="Aptos"/>
        </w:rPr>
        <w:footnoteReference w:id="10"/>
      </w:r>
      <w:r w:rsidRPr="00772ED2">
        <w:t xml:space="preserve"> </w:t>
      </w:r>
    </w:p>
    <w:p w14:paraId="451EF8AE" w14:textId="77777777" w:rsidR="00C23D59" w:rsidRPr="00772ED2" w:rsidRDefault="00C23D59" w:rsidP="00C23D59">
      <w:pPr>
        <w:ind w:left="720" w:right="720"/>
        <w:jc w:val="both"/>
      </w:pPr>
    </w:p>
    <w:p w14:paraId="5036FA7C" w14:textId="293DCBB0" w:rsidR="00C23D59" w:rsidRPr="00E95700" w:rsidRDefault="00C23D59" w:rsidP="00C23D59">
      <w:pPr>
        <w:spacing w:line="480" w:lineRule="auto"/>
        <w:jc w:val="both"/>
      </w:pPr>
      <w:r w:rsidRPr="00772ED2">
        <w:t xml:space="preserve">Hegel does not offer an external critique of the </w:t>
      </w:r>
      <w:r w:rsidRPr="00772ED2">
        <w:rPr>
          <w:i/>
          <w:iCs/>
        </w:rPr>
        <w:t xml:space="preserve">Wissenschaftslehre </w:t>
      </w:r>
      <w:r w:rsidRPr="00772ED2">
        <w:t xml:space="preserve">from the standpoint of Schelling’s </w:t>
      </w:r>
      <w:r w:rsidRPr="00772ED2">
        <w:rPr>
          <w:i/>
          <w:iCs/>
        </w:rPr>
        <w:t xml:space="preserve">Naturphilosophie. </w:t>
      </w:r>
      <w:r w:rsidRPr="00772ED2">
        <w:t xml:space="preserve">Instead, Hegel’s argument is an immanent critique of the </w:t>
      </w:r>
      <w:r w:rsidRPr="00772ED2">
        <w:rPr>
          <w:i/>
          <w:iCs/>
        </w:rPr>
        <w:t>Wissenschaftslehre</w:t>
      </w:r>
      <w:r w:rsidRPr="00772ED2">
        <w:t xml:space="preserve">, following the actual matter at hand. If the </w:t>
      </w:r>
      <w:r w:rsidRPr="00772ED2">
        <w:rPr>
          <w:i/>
          <w:iCs/>
        </w:rPr>
        <w:t>Differenzs</w:t>
      </w:r>
      <w:r w:rsidR="00C22698">
        <w:rPr>
          <w:i/>
          <w:iCs/>
        </w:rPr>
        <w:t>c</w:t>
      </w:r>
      <w:r w:rsidRPr="00772ED2">
        <w:rPr>
          <w:i/>
          <w:iCs/>
        </w:rPr>
        <w:t xml:space="preserve">hrift </w:t>
      </w:r>
      <w:r w:rsidRPr="00772ED2">
        <w:t xml:space="preserve">argues that </w:t>
      </w:r>
      <w:r w:rsidRPr="00772ED2">
        <w:lastRenderedPageBreak/>
        <w:t xml:space="preserve">Schelling’s system is the natural consequence of Fichte’s account, then the argument presented is only as powerful as Hegel’s reconstruction of the </w:t>
      </w:r>
      <w:r w:rsidRPr="00772ED2">
        <w:rPr>
          <w:i/>
          <w:iCs/>
        </w:rPr>
        <w:t xml:space="preserve">Wissenschaftslehre. </w:t>
      </w:r>
    </w:p>
    <w:p w14:paraId="683447A1" w14:textId="1C98E0C5" w:rsidR="00C23D59" w:rsidRPr="00772ED2" w:rsidRDefault="00C23D59" w:rsidP="00C23D59">
      <w:pPr>
        <w:spacing w:line="480" w:lineRule="auto"/>
        <w:jc w:val="both"/>
        <w:rPr>
          <w:i/>
          <w:iCs/>
        </w:rPr>
      </w:pPr>
      <w:r w:rsidRPr="00772ED2">
        <w:tab/>
        <w:t xml:space="preserve">Hegel’s argument depends heavily on articulating the distinction between the ‘speculative’ and the ‘reflective’ sides of Fichte’s philosophy. Most commentators have followed Hegel’s </w:t>
      </w:r>
      <w:r w:rsidR="0014449C">
        <w:t>lead</w:t>
      </w:r>
      <w:r w:rsidRPr="00772ED2">
        <w:t xml:space="preserve"> by emphasizing the critical side of Hegel’s Fichte-interpretation. This usually involves repeating and justifying various accusations that Hegel levies at Fichte, the most prominent of which is Hegel’s claim that Fichte advances a kind of ‘subjective idealism.’ From my point of view, these reconstructions are conspicuously one-sided. While in the </w:t>
      </w:r>
      <w:r w:rsidRPr="00772ED2">
        <w:rPr>
          <w:i/>
          <w:iCs/>
        </w:rPr>
        <w:t>Differenzs</w:t>
      </w:r>
      <w:r w:rsidR="00C22698">
        <w:rPr>
          <w:i/>
          <w:iCs/>
        </w:rPr>
        <w:t>c</w:t>
      </w:r>
      <w:r w:rsidRPr="00772ED2">
        <w:rPr>
          <w:i/>
          <w:iCs/>
        </w:rPr>
        <w:t xml:space="preserve">hrift </w:t>
      </w:r>
      <w:r w:rsidRPr="00772ED2">
        <w:t>Hegel focuses on the inadequacies of Fichte’s system, these criticisms are only properly contextualized in terms of the positive or ‘speculative’ dimensions of Fichte’s philosophy that these inadequate moments fail</w:t>
      </w:r>
      <w:r w:rsidRPr="00772ED2">
        <w:rPr>
          <w:i/>
          <w:iCs/>
        </w:rPr>
        <w:t xml:space="preserve"> </w:t>
      </w:r>
      <w:r w:rsidRPr="00772ED2">
        <w:t xml:space="preserve">to live up to. Therefore, this section is devoted to identifying and articulating </w:t>
      </w:r>
      <w:r w:rsidRPr="00772ED2">
        <w:rPr>
          <w:i/>
          <w:iCs/>
        </w:rPr>
        <w:t xml:space="preserve">both </w:t>
      </w:r>
      <w:r w:rsidRPr="00772ED2">
        <w:t xml:space="preserve">the ‘speculative’ and ‘reflective’ aspects of Fichte’s philosophical system as they are articulated in the </w:t>
      </w:r>
      <w:r w:rsidRPr="00772ED2">
        <w:rPr>
          <w:i/>
          <w:iCs/>
        </w:rPr>
        <w:t>Differenzs</w:t>
      </w:r>
      <w:r w:rsidR="00C22698">
        <w:rPr>
          <w:i/>
          <w:iCs/>
        </w:rPr>
        <w:t>c</w:t>
      </w:r>
      <w:r w:rsidRPr="00772ED2">
        <w:rPr>
          <w:i/>
          <w:iCs/>
        </w:rPr>
        <w:t xml:space="preserve">hrift. </w:t>
      </w:r>
      <w:r w:rsidRPr="00772ED2">
        <w:t xml:space="preserve">This will prove essential to developing an overall interpretation of the Fichte-Hegel relationship, since Hegel’s own philosophical views are in a constant state of flux during this early period of his philosophical development, and especially because his opinion of Schelling’s philosophy sours significantly in the period of 1800-1806, while the importance of Fichte’s philosophical system for Hegel only grows as he matures. </w:t>
      </w:r>
      <w:r w:rsidRPr="00772ED2">
        <w:rPr>
          <w:i/>
          <w:iCs/>
        </w:rPr>
        <w:t xml:space="preserve"> </w:t>
      </w:r>
    </w:p>
    <w:p w14:paraId="38ACCA80" w14:textId="77777777" w:rsidR="00C23D59" w:rsidRPr="00772ED2" w:rsidRDefault="00C23D59" w:rsidP="00C23D59">
      <w:pPr>
        <w:spacing w:line="480" w:lineRule="auto"/>
        <w:jc w:val="both"/>
        <w:rPr>
          <w:i/>
          <w:iCs/>
        </w:rPr>
      </w:pPr>
    </w:p>
    <w:p w14:paraId="57E15043" w14:textId="77777777" w:rsidR="00C23D59" w:rsidRPr="00772ED2" w:rsidRDefault="00C23D59" w:rsidP="00C23D59">
      <w:pPr>
        <w:pStyle w:val="Heading2"/>
      </w:pPr>
      <w:bookmarkStart w:id="1" w:name="_Toc201423799"/>
      <w:r w:rsidRPr="00772ED2">
        <w:t>§2.1 The Need of Philosophy</w:t>
      </w:r>
      <w:bookmarkEnd w:id="1"/>
    </w:p>
    <w:p w14:paraId="79D10A48" w14:textId="65671127" w:rsidR="00C23D59" w:rsidRPr="00772ED2" w:rsidRDefault="00C23D59" w:rsidP="00C23D59">
      <w:pPr>
        <w:spacing w:line="480" w:lineRule="auto"/>
        <w:jc w:val="both"/>
      </w:pPr>
      <w:r w:rsidRPr="00772ED2">
        <w:t xml:space="preserve">Hegel’s assessment of Fichte’s philosophy is based on his understanding of the role of philosophy generally speaking. We can start by saying that for Hegel, philosophy is the practice of making sense of things in the broadest possible sense of that phrase. The chief obstacle to making sense of the world on Hegel’s view is dichotomous opposition, and accordingly “Dichotomy is the source </w:t>
      </w:r>
      <w:r w:rsidRPr="00772ED2">
        <w:lastRenderedPageBreak/>
        <w:t xml:space="preserve">of the </w:t>
      </w:r>
      <w:r w:rsidRPr="00772ED2">
        <w:rPr>
          <w:i/>
          <w:iCs/>
        </w:rPr>
        <w:t xml:space="preserve">need of philosophy; </w:t>
      </w:r>
      <w:r w:rsidRPr="00772ED2">
        <w:t>and as the culture of an era, it is the unfree and given aspect of the whole configuration.”</w:t>
      </w:r>
      <w:r w:rsidRPr="00772ED2">
        <w:rPr>
          <w:rStyle w:val="FootnoteReference"/>
          <w:rFonts w:eastAsia="Aptos"/>
        </w:rPr>
        <w:footnoteReference w:id="11"/>
      </w:r>
      <w:r w:rsidRPr="00772ED2">
        <w:t xml:space="preserve"> This is an idea that will require gradual unfolding. Hegel’s thinking is that dichotomous oppositions are impediments to making sense of the world because the relationship between the dichotomous terms must be left unexplained. To explore this idea, consider prominent dichotomous oppositions in the history of philosophy, such as the distinction between mind and body, the infinite and the finite, and subject and object. What is so dissatisfying about these forms of dualism is the inability to explain the </w:t>
      </w:r>
      <w:r w:rsidRPr="00772ED2">
        <w:rPr>
          <w:i/>
          <w:iCs/>
        </w:rPr>
        <w:t xml:space="preserve">relation </w:t>
      </w:r>
      <w:r w:rsidRPr="00772ED2">
        <w:t>between the mind and the body, the infinite and the finite, subject and object, a shortcoming that Hegel sees as inevitable so long as these distinctions are thought in the form of a dichotom</w:t>
      </w:r>
      <w:r w:rsidR="00E95700">
        <w:t>y</w:t>
      </w:r>
      <w:r w:rsidRPr="00772ED2">
        <w:t>.</w:t>
      </w:r>
    </w:p>
    <w:p w14:paraId="6384543B" w14:textId="43AA6FCB" w:rsidR="00C23D59" w:rsidRPr="00772ED2" w:rsidRDefault="00C23D59" w:rsidP="00C23D59">
      <w:pPr>
        <w:spacing w:line="480" w:lineRule="auto"/>
        <w:jc w:val="both"/>
      </w:pPr>
      <w:r w:rsidRPr="00772ED2">
        <w:tab/>
        <w:t xml:space="preserve">Hegel therefore identifies two fundamental tendencies of philosophical reasoning: the intellect (or understanding; </w:t>
      </w:r>
      <w:r w:rsidRPr="00772ED2">
        <w:rPr>
          <w:i/>
          <w:iCs/>
        </w:rPr>
        <w:t>Verstand</w:t>
      </w:r>
      <w:r w:rsidRPr="00772ED2">
        <w:t>) and reason (</w:t>
      </w:r>
      <w:r w:rsidRPr="00772ED2">
        <w:rPr>
          <w:i/>
          <w:iCs/>
        </w:rPr>
        <w:t>Vernunft</w:t>
      </w:r>
      <w:r w:rsidRPr="00772ED2">
        <w:t xml:space="preserve">). Hegel borrows this distinction from Kant’s account of the faculties of understanding and reason in the </w:t>
      </w:r>
      <w:r w:rsidRPr="00772ED2">
        <w:rPr>
          <w:i/>
          <w:iCs/>
        </w:rPr>
        <w:t xml:space="preserve">Critique of Pure Reason. </w:t>
      </w:r>
      <w:r w:rsidRPr="00772ED2">
        <w:t xml:space="preserve">For Kant, the understanding is the faculty of concepts, and perhaps the single greatest discovery of the </w:t>
      </w:r>
      <w:r w:rsidRPr="00772ED2">
        <w:rPr>
          <w:i/>
          <w:iCs/>
        </w:rPr>
        <w:t xml:space="preserve">Critique </w:t>
      </w:r>
      <w:r w:rsidRPr="00772ED2">
        <w:t>is that the understanding has legitimate application only to appearances conditioned by our form of sensibility.</w:t>
      </w:r>
      <w:r w:rsidRPr="00772ED2">
        <w:rPr>
          <w:rStyle w:val="FootnoteReference"/>
          <w:rFonts w:eastAsia="Aptos"/>
        </w:rPr>
        <w:footnoteReference w:id="12"/>
      </w:r>
      <w:r w:rsidRPr="00772ED2">
        <w:t xml:space="preserve"> Reason, by contrast, involves the amplification of concepts beyond the condition of sensibility to the unconditioned.</w:t>
      </w:r>
      <w:r w:rsidRPr="00772ED2">
        <w:rPr>
          <w:rStyle w:val="FootnoteReference"/>
          <w:rFonts w:eastAsia="Aptos"/>
        </w:rPr>
        <w:footnoteReference w:id="13"/>
      </w:r>
      <w:r w:rsidRPr="00772ED2">
        <w:t xml:space="preserve"> Kant’s distinction between the understanding and reason is meant to clarify and secure the cognitive function of the understanding, while identifying reason as the principal source of transcendental illusion. Hegel accepts the distinction between the understanding and reason but practically inverts Kant’s evaluation of their relationship. Hegel describes the understanding in the following way: “The intellect, as the capacity to set limits, erects </w:t>
      </w:r>
      <w:r w:rsidRPr="00772ED2">
        <w:lastRenderedPageBreak/>
        <w:t xml:space="preserve">a building and places it between man and the Absolute, linking everything that man thinks worthy and holy to this building, fortifying it through all the powers of nature and talent and expanding </w:t>
      </w:r>
      <w:proofErr w:type="spellStart"/>
      <w:r w:rsidRPr="00772ED2">
        <w:t>it</w:t>
      </w:r>
      <w:proofErr w:type="spellEnd"/>
      <w:r w:rsidRPr="00772ED2">
        <w:t xml:space="preserve"> </w:t>
      </w:r>
      <w:r w:rsidRPr="00772ED2">
        <w:rPr>
          <w:i/>
          <w:iCs/>
        </w:rPr>
        <w:t>ad infinitum.</w:t>
      </w:r>
      <w:r w:rsidRPr="00772ED2">
        <w:t>”</w:t>
      </w:r>
      <w:r w:rsidRPr="00772ED2">
        <w:rPr>
          <w:rStyle w:val="FootnoteReference"/>
          <w:rFonts w:eastAsia="Aptos"/>
        </w:rPr>
        <w:footnoteReference w:id="14"/>
      </w:r>
      <w:r w:rsidRPr="00772ED2">
        <w:t xml:space="preserve"> Hegel identifies the understanding as the philosophical faculty of dichotomous opposition. It is possible to see how Hegel’s </w:t>
      </w:r>
      <w:r w:rsidR="00E95700">
        <w:t>concept</w:t>
      </w:r>
      <w:r w:rsidRPr="00772ED2">
        <w:t xml:space="preserve"> of the understanding emerges out of Kant’s in spite of their obvious differences, since in Kant the understanding is only legitimately applied to appearances, the structure of the understanding itself forever asserts a dichotomous opposition between appearances (as conditioned by the form of our sensibility) and ‘things in themselves,’ or unconditioned reality. Kant’s critical system of philosophy is, in Hegel’s view, the preeminent philosophy of the intellect and finitude, since by its very nature it asserts a dichotomy between human knowledge and the Absolute (or unconditioned reality). But for Hegel, it is puzzling how it is possible to assert a conditioned form of knowledge that is by nature disconnected from an account of unconditioned reality, for in what respect does such an account really qualify as </w:t>
      </w:r>
      <w:r w:rsidRPr="00772ED2">
        <w:rPr>
          <w:i/>
          <w:iCs/>
        </w:rPr>
        <w:t xml:space="preserve">knowledge </w:t>
      </w:r>
      <w:r w:rsidRPr="00772ED2">
        <w:t>at all?</w:t>
      </w:r>
      <w:r w:rsidRPr="00772ED2">
        <w:rPr>
          <w:rStyle w:val="FootnoteReference"/>
          <w:rFonts w:eastAsia="Aptos"/>
        </w:rPr>
        <w:footnoteReference w:id="15"/>
      </w:r>
    </w:p>
    <w:p w14:paraId="66A040CF" w14:textId="77777777" w:rsidR="00C23D59" w:rsidRPr="00772ED2" w:rsidRDefault="00C23D59" w:rsidP="00C23D59">
      <w:pPr>
        <w:spacing w:line="480" w:lineRule="auto"/>
        <w:jc w:val="both"/>
      </w:pPr>
      <w:r w:rsidRPr="00772ED2">
        <w:tab/>
        <w:t>Reason emerges for Hegel as the faculty for suspending or overcoming dichotomous oppositions. He writes that</w:t>
      </w:r>
    </w:p>
    <w:p w14:paraId="2CE33C30" w14:textId="77777777" w:rsidR="00C23D59" w:rsidRPr="00772ED2" w:rsidRDefault="00C23D59" w:rsidP="00C23D59">
      <w:pPr>
        <w:ind w:left="720" w:right="720"/>
        <w:jc w:val="both"/>
      </w:pPr>
      <w:r w:rsidRPr="00772ED2">
        <w:t>The sole interest of Reason is to suspend such rigid antitheses. But this does not mean that Reason is altogether opposed to opposition and limitation. For the necessary dichotomy is One factor in life. Life eternally forms itself by setting up oppositions, and totality at the highest pitch of living energy (</w:t>
      </w:r>
      <w:r w:rsidRPr="00772ED2">
        <w:rPr>
          <w:i/>
          <w:iCs/>
        </w:rPr>
        <w:t xml:space="preserve">in der </w:t>
      </w:r>
      <w:proofErr w:type="spellStart"/>
      <w:r w:rsidRPr="00772ED2">
        <w:rPr>
          <w:i/>
          <w:iCs/>
        </w:rPr>
        <w:t>h</w:t>
      </w:r>
      <w:r w:rsidRPr="007A67A1">
        <w:rPr>
          <w:i/>
          <w:iCs/>
        </w:rPr>
        <w:t>ö</w:t>
      </w:r>
      <w:r w:rsidRPr="00772ED2">
        <w:rPr>
          <w:i/>
          <w:iCs/>
        </w:rPr>
        <w:t>chsten</w:t>
      </w:r>
      <w:proofErr w:type="spellEnd"/>
      <w:r w:rsidRPr="00772ED2">
        <w:rPr>
          <w:i/>
          <w:iCs/>
        </w:rPr>
        <w:t xml:space="preserve"> </w:t>
      </w:r>
      <w:proofErr w:type="spellStart"/>
      <w:r w:rsidRPr="00772ED2">
        <w:rPr>
          <w:i/>
          <w:iCs/>
        </w:rPr>
        <w:t>Lebendigkeit</w:t>
      </w:r>
      <w:proofErr w:type="spellEnd"/>
      <w:r w:rsidRPr="00772ED2">
        <w:t>) is only possible through its own re-establishment out of the deepest fission. What reason opposes, rather, is just the absolute fixity which the intellect gives to dichotomy; and it does so all the more if the absolute opposites themselves originated in Reason.</w:t>
      </w:r>
      <w:r w:rsidRPr="00772ED2">
        <w:rPr>
          <w:rStyle w:val="FootnoteReference"/>
          <w:rFonts w:eastAsia="Aptos"/>
        </w:rPr>
        <w:footnoteReference w:id="16"/>
      </w:r>
    </w:p>
    <w:p w14:paraId="2488C200" w14:textId="77777777" w:rsidR="00C23D59" w:rsidRPr="00772ED2" w:rsidRDefault="00C23D59" w:rsidP="00C23D59">
      <w:pPr>
        <w:ind w:left="720" w:right="720"/>
        <w:jc w:val="both"/>
      </w:pPr>
    </w:p>
    <w:p w14:paraId="2D873532" w14:textId="2A98B2C8" w:rsidR="00C23D59" w:rsidRPr="00772ED2" w:rsidRDefault="00C23D59" w:rsidP="00C23D59">
      <w:pPr>
        <w:spacing w:line="480" w:lineRule="auto"/>
        <w:jc w:val="both"/>
      </w:pPr>
      <w:r w:rsidRPr="00772ED2">
        <w:t xml:space="preserve">Kant describes reason as the faculty of illusion and deception because the amplification to the unconditioned transcends all limits, including the human limits of cognition. In providing a </w:t>
      </w:r>
      <w:r w:rsidRPr="00772ED2">
        <w:lastRenderedPageBreak/>
        <w:t xml:space="preserve">positive account of reason, Hegel is not asserting an opposition to dualistic distinctions </w:t>
      </w:r>
      <w:r w:rsidRPr="00772ED2">
        <w:rPr>
          <w:i/>
          <w:iCs/>
        </w:rPr>
        <w:t>tou</w:t>
      </w:r>
      <w:r w:rsidR="00E95700">
        <w:rPr>
          <w:i/>
          <w:iCs/>
        </w:rPr>
        <w:t>t</w:t>
      </w:r>
      <w:r w:rsidRPr="00772ED2">
        <w:rPr>
          <w:i/>
          <w:iCs/>
        </w:rPr>
        <w:t xml:space="preserve"> court </w:t>
      </w:r>
      <w:r w:rsidRPr="00772ED2">
        <w:t xml:space="preserve">(after all, the distinction between the understanding and reason </w:t>
      </w:r>
      <w:r w:rsidRPr="00772ED2">
        <w:rPr>
          <w:i/>
          <w:iCs/>
        </w:rPr>
        <w:t>is itself dualistic</w:t>
      </w:r>
      <w:r w:rsidRPr="00772ED2">
        <w:t>). Reason is for Hegel not a monochromatic formalism that recognizes no distinctions, it is instead the development of the intellect such that the relationship between the opposed terms can itself be explained. Reason is not therefore opposed to the intellect so much as it is the higher development of the intellect itself.</w:t>
      </w:r>
      <w:r w:rsidRPr="00772ED2">
        <w:rPr>
          <w:rStyle w:val="FootnoteReference"/>
          <w:rFonts w:eastAsia="Aptos"/>
        </w:rPr>
        <w:footnoteReference w:id="17"/>
      </w:r>
    </w:p>
    <w:p w14:paraId="371085AC" w14:textId="2FF3B5AB" w:rsidR="00C23D59" w:rsidRPr="00772ED2" w:rsidRDefault="00C23D59" w:rsidP="00C23D59">
      <w:pPr>
        <w:spacing w:line="480" w:lineRule="auto"/>
        <w:jc w:val="both"/>
      </w:pPr>
      <w:r w:rsidRPr="00772ED2">
        <w:tab/>
        <w:t>This is all still rather abstract. To render this dynamic more concrete, consider the distinction between the finite and the infinite, a paradigm case for Hegel. One way to understand this distinction is to take</w:t>
      </w:r>
      <w:r w:rsidR="00F02450">
        <w:t xml:space="preserve"> </w:t>
      </w:r>
      <w:r w:rsidRPr="00772ED2">
        <w:t xml:space="preserve">the perspective of the finite. It is easy to distinguish between the infinite and any particular finite number: the infinite is, by its nature, the transcendence of all limits, and in contrast, all particular numbers are defined by certain limits. While it is possible for a finite number to transcend its limits through addition, no addition ever suffices to reach the infinite. This is a way of framing the distinction between the finite and the infinite as a dichotomy from the point of view of the intellect. The finite is not and can never become the infinite; the infinite </w:t>
      </w:r>
      <w:proofErr w:type="gramStart"/>
      <w:r w:rsidRPr="00772ED2">
        <w:t>is a</w:t>
      </w:r>
      <w:proofErr w:type="gramEnd"/>
      <w:r w:rsidRPr="00772ED2">
        <w:t xml:space="preserve"> </w:t>
      </w:r>
      <w:proofErr w:type="gramStart"/>
      <w:r w:rsidRPr="00772ED2">
        <w:t>beyond of</w:t>
      </w:r>
      <w:proofErr w:type="gramEnd"/>
      <w:r w:rsidRPr="00772ED2">
        <w:t xml:space="preserve"> the finite. Another perspective opens </w:t>
      </w:r>
      <w:r w:rsidR="002410F8">
        <w:t>by</w:t>
      </w:r>
      <w:r w:rsidR="002410F8" w:rsidRPr="00772ED2">
        <w:t xml:space="preserve"> </w:t>
      </w:r>
      <w:r w:rsidRPr="00772ED2">
        <w:t>considering the effects of this understanding of the distinction between the finite and the infinite from the point of view of the infinite. For if the infinite is the unconditioned, and the finite is dichotomously opposed to the infinite, then it seems that the infinite itself is limited by the finite and consequently the infinite itself is rendered finite by the finite.</w:t>
      </w:r>
      <w:r w:rsidRPr="00772ED2">
        <w:rPr>
          <w:rStyle w:val="FootnoteReference"/>
          <w:rFonts w:eastAsia="Aptos"/>
        </w:rPr>
        <w:footnoteReference w:id="18"/>
      </w:r>
      <w:r w:rsidRPr="00772ED2">
        <w:t xml:space="preserve"> This is a classic example of a Hegelian contradiction. Reason sublates this </w:t>
      </w:r>
      <w:r w:rsidRPr="00772ED2">
        <w:lastRenderedPageBreak/>
        <w:t xml:space="preserve">contradiction by treating the finite as a moment of the infinite itself. In other words, rather than every individual number being dichotomously opposed to the infinite, reason sees the finite as folded into the infinite itself. Hegel’s way of saying this in the </w:t>
      </w:r>
      <w:r w:rsidRPr="00772ED2">
        <w:rPr>
          <w:i/>
          <w:iCs/>
        </w:rPr>
        <w:t>Differenzs</w:t>
      </w:r>
      <w:r w:rsidR="00C22698">
        <w:rPr>
          <w:i/>
          <w:iCs/>
        </w:rPr>
        <w:t>c</w:t>
      </w:r>
      <w:r w:rsidRPr="00772ED2">
        <w:rPr>
          <w:i/>
          <w:iCs/>
        </w:rPr>
        <w:t xml:space="preserve">hrift </w:t>
      </w:r>
      <w:r w:rsidRPr="00772ED2">
        <w:t>is that “In the infinite activity of becoming and producing, Reason has united what was sundered and it has reduced the absolute dichotomy to a relative one, one that is conditioned by the original identity.”</w:t>
      </w:r>
      <w:r w:rsidRPr="00772ED2">
        <w:rPr>
          <w:rStyle w:val="FootnoteReference"/>
          <w:rFonts w:eastAsia="Aptos"/>
        </w:rPr>
        <w:footnoteReference w:id="19"/>
      </w:r>
      <w:r w:rsidRPr="00772ED2">
        <w:t xml:space="preserve"> As we can see from this quotation, Hegel’s reasoning about the distinction between the finite and the infinite is a model for understanding the relationship between the distinction between the intellect and reason because the intellect is intrinsically finite and reason infinite. The intellect is finite because it is conditioned by human sensibility and views itself as opposed to reason because</w:t>
      </w:r>
      <w:r w:rsidR="002410F8">
        <w:t xml:space="preserve"> it regards</w:t>
      </w:r>
      <w:r w:rsidRPr="00772ED2">
        <w:t xml:space="preserve"> the unconditioned as fundamentally inaccessible to it. By contrast, reason is infinite because there is nothing external that limits it in the manner of a finite thing. </w:t>
      </w:r>
    </w:p>
    <w:p w14:paraId="0FE4EE68" w14:textId="046F0069" w:rsidR="00C23D59" w:rsidRPr="00772ED2" w:rsidRDefault="00C23D59" w:rsidP="00C23D59">
      <w:pPr>
        <w:spacing w:line="480" w:lineRule="auto"/>
        <w:jc w:val="both"/>
      </w:pPr>
      <w:r w:rsidRPr="00772ED2">
        <w:tab/>
        <w:t xml:space="preserve">Another important layer of Hegel’s account </w:t>
      </w:r>
      <w:r w:rsidR="00201863">
        <w:t xml:space="preserve">in the </w:t>
      </w:r>
      <w:r w:rsidR="00201863">
        <w:rPr>
          <w:i/>
          <w:iCs/>
        </w:rPr>
        <w:t xml:space="preserve">Differenzschrift </w:t>
      </w:r>
      <w:r w:rsidRPr="00772ED2">
        <w:t>is that philosophy is the progressive development of self-consciousness.</w:t>
      </w:r>
      <w:r w:rsidRPr="00772ED2">
        <w:rPr>
          <w:rStyle w:val="FootnoteReference"/>
          <w:rFonts w:eastAsia="Aptos"/>
        </w:rPr>
        <w:footnoteReference w:id="20"/>
      </w:r>
      <w:r w:rsidRPr="00772ED2">
        <w:t xml:space="preserve"> That is to say, our process of making sense of the world is also the process of coming to self-conscious realization of </w:t>
      </w:r>
      <w:r w:rsidRPr="00772ED2">
        <w:rPr>
          <w:i/>
          <w:iCs/>
        </w:rPr>
        <w:t>our practices of making the world understandable.</w:t>
      </w:r>
      <w:r w:rsidRPr="00772ED2">
        <w:t xml:space="preserve"> There is no gap, as it were, between the sense of the world and our practice of making sense of it. This is why, for Hegel, the development of philosophical inquiry </w:t>
      </w:r>
      <w:r w:rsidRPr="00772ED2">
        <w:rPr>
          <w:i/>
          <w:iCs/>
        </w:rPr>
        <w:t xml:space="preserve">is </w:t>
      </w:r>
      <w:r w:rsidRPr="00772ED2">
        <w:t xml:space="preserve">the progressive realization of human freedom itself. Philosophy is </w:t>
      </w:r>
      <w:proofErr w:type="gramStart"/>
      <w:r w:rsidRPr="00772ED2">
        <w:t>freeing</w:t>
      </w:r>
      <w:proofErr w:type="gramEnd"/>
      <w:r w:rsidRPr="00772ED2">
        <w:t xml:space="preserve"> because it is the process of examining, evaluating, and transforming the available conceptual tools for making sense of the world. What before were merely ‘given’ concepts for understanding the world are in philosophy worked on and shaped to respond to the needs of a particular culture and society. Every philosophy </w:t>
      </w:r>
      <w:r w:rsidRPr="00772ED2">
        <w:lastRenderedPageBreak/>
        <w:t xml:space="preserve">is therefore essentially related to its own era, as its era provides the unstated presuppositions that philosophy seeks to clarify and </w:t>
      </w:r>
      <w:proofErr w:type="gramStart"/>
      <w:r w:rsidRPr="00772ED2">
        <w:t>raise to</w:t>
      </w:r>
      <w:proofErr w:type="gramEnd"/>
      <w:r w:rsidRPr="00772ED2">
        <w:t xml:space="preserve"> self-consciousness. </w:t>
      </w:r>
    </w:p>
    <w:p w14:paraId="5C9AB3DE" w14:textId="292AC5AA" w:rsidR="00C23D59" w:rsidRPr="00772ED2" w:rsidRDefault="00C23D59" w:rsidP="00C23D59">
      <w:pPr>
        <w:spacing w:line="480" w:lineRule="auto"/>
        <w:jc w:val="both"/>
      </w:pPr>
      <w:r w:rsidRPr="00772ED2">
        <w:tab/>
        <w:t xml:space="preserve">There is a strong monistic streak to Hegel’s philosophy, but one that nevertheless tries to account for the persistence of difference and distinction. Hegel’s way of putting this point in the </w:t>
      </w:r>
      <w:r w:rsidRPr="00772ED2">
        <w:rPr>
          <w:i/>
          <w:iCs/>
        </w:rPr>
        <w:t>Differenzs</w:t>
      </w:r>
      <w:r w:rsidR="00C22698">
        <w:rPr>
          <w:i/>
          <w:iCs/>
        </w:rPr>
        <w:t>c</w:t>
      </w:r>
      <w:r w:rsidRPr="00772ED2">
        <w:rPr>
          <w:i/>
          <w:iCs/>
        </w:rPr>
        <w:t xml:space="preserve">hrift </w:t>
      </w:r>
      <w:r w:rsidRPr="00772ED2">
        <w:t xml:space="preserve">is the following: </w:t>
      </w:r>
    </w:p>
    <w:p w14:paraId="35F32C4F" w14:textId="52DED639" w:rsidR="00C23D59" w:rsidRPr="00772ED2" w:rsidRDefault="00C23D59" w:rsidP="00C23D59">
      <w:pPr>
        <w:ind w:left="720" w:right="720"/>
        <w:jc w:val="both"/>
      </w:pPr>
      <w:r w:rsidRPr="00772ED2">
        <w:t xml:space="preserve">From the standpoint of dichotomy, the absolute synthesis </w:t>
      </w:r>
      <w:proofErr w:type="gramStart"/>
      <w:r w:rsidRPr="00772ED2">
        <w:t>is a</w:t>
      </w:r>
      <w:proofErr w:type="gramEnd"/>
      <w:r w:rsidRPr="00772ED2">
        <w:t xml:space="preserve"> beyond, it is the undetermined and the shapeless as opposed to the determinacies of dichotomy. The Absolute is the night, and the light is younger than it; and the distinction between them, like the emergence of light out of the night, is an absolute difference… But the task of philosophy consists in uniting these presuppositions: to posit being in non-being, as becoming; to posit dichotomy in the Absolute, as its appearance; to posit the finite in the infinite, as life.</w:t>
      </w:r>
      <w:r w:rsidRPr="00772ED2">
        <w:rPr>
          <w:rStyle w:val="FootnoteReference"/>
          <w:rFonts w:eastAsia="Aptos"/>
        </w:rPr>
        <w:footnoteReference w:id="21"/>
      </w:r>
    </w:p>
    <w:p w14:paraId="4CF79250" w14:textId="77777777" w:rsidR="00C23D59" w:rsidRPr="00772ED2" w:rsidRDefault="00C23D59" w:rsidP="00C23D59">
      <w:pPr>
        <w:ind w:left="720" w:right="720"/>
        <w:jc w:val="both"/>
      </w:pPr>
    </w:p>
    <w:p w14:paraId="50B4E911" w14:textId="338D1B44" w:rsidR="00C23D59" w:rsidRPr="00772ED2" w:rsidRDefault="00C23D59" w:rsidP="00C23D59">
      <w:pPr>
        <w:spacing w:line="480" w:lineRule="auto"/>
        <w:jc w:val="both"/>
      </w:pPr>
      <w:r w:rsidRPr="00772ED2">
        <w:t>Like Hegel’s previously articulated account of the infinite, the role of philosophy is to unify the standpoints or demands raised by various distinctions, but without allowing their difference to take the form of an absolutely dichotomous opposition. Hegel accordingly develops a corollary distinction between ‘reflective’ and ‘speculative’ approaches to philosophy corresponding to his previous distinction between the intellect and reason. He writes that “Reflection in isolation is the positing of opposites, and this would be a suspension of the Absolute, reflection being the faculty of being and limitation.”</w:t>
      </w:r>
      <w:r w:rsidRPr="00772ED2">
        <w:rPr>
          <w:rStyle w:val="FootnoteReference"/>
          <w:rFonts w:eastAsia="Aptos"/>
        </w:rPr>
        <w:footnoteReference w:id="22"/>
      </w:r>
      <w:r w:rsidRPr="00772ED2">
        <w:t xml:space="preserve"> In contrast, “The principle of speculation is the identity of subject and object.”</w:t>
      </w:r>
      <w:r w:rsidRPr="00772ED2">
        <w:rPr>
          <w:rStyle w:val="FootnoteReference"/>
          <w:rFonts w:eastAsia="Aptos"/>
        </w:rPr>
        <w:footnoteReference w:id="23"/>
      </w:r>
    </w:p>
    <w:p w14:paraId="475E217E" w14:textId="77777777" w:rsidR="00C23D59" w:rsidRPr="00772ED2" w:rsidRDefault="00C23D59" w:rsidP="00C23D59">
      <w:pPr>
        <w:spacing w:line="480" w:lineRule="auto"/>
        <w:jc w:val="both"/>
      </w:pPr>
      <w:r w:rsidRPr="00772ED2">
        <w:tab/>
        <w:t xml:space="preserve">We now have a general overall picture of Hegel’s conception of philosophy necessary for understanding Hegel’s specific assessment of Fichte. For Hegel, philosophy is the progressive realization of self-consciousness through the sublation of absolutely dichotomous oppositions. Philosophy is historical because it represents the efforts of a particular stage of human </w:t>
      </w:r>
      <w:r w:rsidRPr="00772ED2">
        <w:lastRenderedPageBreak/>
        <w:t>development to understand the world and its own sense-making practices. Fichte’s philosophy is, in Hegel’s view, an epoch, because it is a necessary stage in the development and self-realization of human culture.</w:t>
      </w:r>
      <w:r w:rsidRPr="00772ED2">
        <w:rPr>
          <w:rStyle w:val="FootnoteReference"/>
          <w:rFonts w:eastAsia="Aptos"/>
        </w:rPr>
        <w:footnoteReference w:id="24"/>
      </w:r>
      <w:r w:rsidRPr="00772ED2">
        <w:t xml:space="preserve"> Fichte’s philosophy has effectively sublated prior oppositions, which is its speculative aspect, but it nevertheless continues to rely unconsciously on other, merely given dichotomous oppositions, which is its reflective aspect. Now all that is needed is a fuller picture of what</w:t>
      </w:r>
      <w:r w:rsidRPr="00772ED2">
        <w:rPr>
          <w:i/>
          <w:iCs/>
        </w:rPr>
        <w:t xml:space="preserve"> </w:t>
      </w:r>
      <w:r w:rsidRPr="00772ED2">
        <w:t xml:space="preserve">distinctions Fichte’s philosophy effectively sublates or resolves, and what dichotomies nevertheless continue to persist in animating his systematizing without his knowledge. </w:t>
      </w:r>
    </w:p>
    <w:p w14:paraId="0137C355" w14:textId="77777777" w:rsidR="00C23D59" w:rsidRPr="00772ED2" w:rsidRDefault="00C23D59" w:rsidP="00C23D59">
      <w:pPr>
        <w:spacing w:line="480" w:lineRule="auto"/>
        <w:jc w:val="both"/>
      </w:pPr>
    </w:p>
    <w:p w14:paraId="534D3E36" w14:textId="68EDC9B2" w:rsidR="00C23D59" w:rsidRPr="00772ED2" w:rsidRDefault="00C23D59" w:rsidP="00C23D59">
      <w:pPr>
        <w:pStyle w:val="Heading2"/>
        <w:rPr>
          <w:i/>
          <w:iCs/>
        </w:rPr>
      </w:pPr>
      <w:bookmarkStart w:id="2" w:name="_Toc201423800"/>
      <w:r w:rsidRPr="00772ED2">
        <w:t xml:space="preserve">§2.2 Kant in the </w:t>
      </w:r>
      <w:r w:rsidRPr="00772ED2">
        <w:rPr>
          <w:i/>
          <w:iCs/>
        </w:rPr>
        <w:t>Differenzs</w:t>
      </w:r>
      <w:r w:rsidR="00C22698">
        <w:rPr>
          <w:i/>
          <w:iCs/>
        </w:rPr>
        <w:t>c</w:t>
      </w:r>
      <w:r w:rsidRPr="00772ED2">
        <w:rPr>
          <w:i/>
          <w:iCs/>
        </w:rPr>
        <w:t>hrift</w:t>
      </w:r>
      <w:bookmarkEnd w:id="2"/>
    </w:p>
    <w:p w14:paraId="55588F82" w14:textId="475BD7BE" w:rsidR="00C23D59" w:rsidRPr="00772ED2" w:rsidRDefault="00C23D59" w:rsidP="00C23D59">
      <w:pPr>
        <w:spacing w:line="480" w:lineRule="auto"/>
        <w:jc w:val="both"/>
      </w:pPr>
      <w:r w:rsidRPr="00772ED2">
        <w:t xml:space="preserve">Hegel describes the speculative side of Fichte’s philosophy in terms of its specific advancement over Kant’s critical system of philosophy. Therefore, in order to clarify the role of Fichte’s philosophy on Hegel’s account, it will first be necessary to examine Hegel’s remarks on Kant in the </w:t>
      </w:r>
      <w:r w:rsidRPr="00772ED2">
        <w:rPr>
          <w:i/>
          <w:iCs/>
        </w:rPr>
        <w:t>Differenzs</w:t>
      </w:r>
      <w:r w:rsidR="00C22698">
        <w:rPr>
          <w:i/>
          <w:iCs/>
        </w:rPr>
        <w:t>c</w:t>
      </w:r>
      <w:r w:rsidRPr="00772ED2">
        <w:rPr>
          <w:i/>
          <w:iCs/>
        </w:rPr>
        <w:t xml:space="preserve">hrift. </w:t>
      </w:r>
      <w:r w:rsidRPr="00772ED2">
        <w:t xml:space="preserve">This is, of course, not an exhaustive account of the Kant-Hegel relationship, but it suffices nevertheless to point the way to Fichte. Hegel opens the </w:t>
      </w:r>
      <w:r w:rsidRPr="00772ED2">
        <w:rPr>
          <w:i/>
          <w:iCs/>
        </w:rPr>
        <w:t>Differenzs</w:t>
      </w:r>
      <w:r w:rsidR="00C22698">
        <w:rPr>
          <w:i/>
          <w:iCs/>
        </w:rPr>
        <w:t>c</w:t>
      </w:r>
      <w:r w:rsidRPr="00772ED2">
        <w:rPr>
          <w:i/>
          <w:iCs/>
        </w:rPr>
        <w:t xml:space="preserve">hrift </w:t>
      </w:r>
      <w:r w:rsidRPr="00772ED2">
        <w:t xml:space="preserve">on a very Fichtean note: </w:t>
      </w:r>
    </w:p>
    <w:p w14:paraId="41865720" w14:textId="77777777" w:rsidR="00C23D59" w:rsidRPr="00772ED2" w:rsidRDefault="00C23D59" w:rsidP="00C23D59">
      <w:pPr>
        <w:ind w:left="720" w:right="720"/>
        <w:jc w:val="both"/>
      </w:pPr>
      <w:r w:rsidRPr="00772ED2">
        <w:t>The Kantian philosophy needed to have its spirit distinguished from its letter, and to have purely speculative principles lifted out of the remainder that belonged to, or could be used for, the arguments of reflection. In the principle of the deduction of the categories, Kant’s philosophy is authentic idealism; and it is this principle that Fichte extracted in a purer, stricter form and called the spirit of the Kantian philosophy.</w:t>
      </w:r>
      <w:r w:rsidRPr="00772ED2">
        <w:rPr>
          <w:rStyle w:val="FootnoteReference"/>
          <w:rFonts w:eastAsia="Aptos"/>
        </w:rPr>
        <w:footnoteReference w:id="25"/>
      </w:r>
    </w:p>
    <w:p w14:paraId="59C94BDA" w14:textId="77777777" w:rsidR="00C23D59" w:rsidRPr="00772ED2" w:rsidRDefault="00C23D59" w:rsidP="00C23D59">
      <w:pPr>
        <w:ind w:left="720" w:right="720"/>
        <w:jc w:val="both"/>
      </w:pPr>
    </w:p>
    <w:p w14:paraId="1A6FD33F" w14:textId="77777777" w:rsidR="00C23D59" w:rsidRPr="00772ED2" w:rsidRDefault="00C23D59" w:rsidP="00C23D59">
      <w:pPr>
        <w:spacing w:line="480" w:lineRule="auto"/>
        <w:jc w:val="both"/>
      </w:pPr>
      <w:r w:rsidRPr="00772ED2">
        <w:t xml:space="preserve">Here Hegel’s distinction between the speculative and reflective aspects of philosophy is shown to follow Fichte’s own distinction between the spirit and letter of Kant’s philosophy. Fichte advances on Kant in Hegel’s view because he ‘extracts in a purer and stricter form’ the ‘principle of the </w:t>
      </w:r>
      <w:r w:rsidRPr="00772ED2">
        <w:lastRenderedPageBreak/>
        <w:t xml:space="preserve">deduction of the categories.’ Understanding precisely what Hegel means here requires delineating between the reflective and speculative aspects of Kant’s treatment of the categories. </w:t>
      </w:r>
    </w:p>
    <w:p w14:paraId="4F07E4B0" w14:textId="3380C1CC" w:rsidR="00C23D59" w:rsidRPr="00772ED2" w:rsidRDefault="00C23D59" w:rsidP="00C23D59">
      <w:pPr>
        <w:spacing w:line="480" w:lineRule="auto"/>
        <w:ind w:firstLine="720"/>
        <w:jc w:val="both"/>
      </w:pPr>
      <w:r w:rsidRPr="00772ED2">
        <w:t>It is easier to begin with the speculative side of Kant’s account. Hegel writes that “If one holds solely and directly to this principle and to the transcendental principle at the basis of Kant’s deduction of the categories, one has the authentic principle of speculation boldly expressed.”</w:t>
      </w:r>
      <w:r w:rsidRPr="00772ED2">
        <w:rPr>
          <w:rStyle w:val="FootnoteReference"/>
          <w:rFonts w:eastAsia="Aptos"/>
        </w:rPr>
        <w:footnoteReference w:id="26"/>
      </w:r>
      <w:r w:rsidRPr="00772ED2">
        <w:t xml:space="preserve"> Hegel’s thought is this: Kant’s account of the categories is speculative precisely because they emerge as the transcendental condition for </w:t>
      </w:r>
      <w:r w:rsidRPr="00772ED2">
        <w:rPr>
          <w:i/>
          <w:iCs/>
        </w:rPr>
        <w:t xml:space="preserve">both </w:t>
      </w:r>
      <w:r w:rsidRPr="00772ED2">
        <w:t>the subject and objects of experience. The categories are, in Kant’s account, simple and elementary forms of unity that cut across dichotomous distinctions. Dogmatic metaphysics treated its fundamental concepts such as substance, cause, community (interaction), etc., as merely objective qualities, but Kant’s account reveals that these concepts acquire their true meaning in making experience as such possible.</w:t>
      </w:r>
      <w:r w:rsidRPr="00772ED2">
        <w:rPr>
          <w:rStyle w:val="FootnoteReference"/>
          <w:rFonts w:eastAsia="Aptos"/>
        </w:rPr>
        <w:footnoteReference w:id="27"/>
      </w:r>
      <w:r w:rsidRPr="00772ED2">
        <w:t xml:space="preserve"> But, at least in the </w:t>
      </w:r>
      <w:r w:rsidRPr="00772ED2">
        <w:rPr>
          <w:i/>
          <w:iCs/>
        </w:rPr>
        <w:t>Differenzs</w:t>
      </w:r>
      <w:r w:rsidR="00C22698">
        <w:rPr>
          <w:i/>
          <w:iCs/>
        </w:rPr>
        <w:t>c</w:t>
      </w:r>
      <w:r w:rsidRPr="00772ED2">
        <w:rPr>
          <w:i/>
          <w:iCs/>
        </w:rPr>
        <w:t xml:space="preserve">hrift, </w:t>
      </w:r>
      <w:r w:rsidRPr="00772ED2">
        <w:t>this is as far as Hegel’s praise for Kant goes. Kant thinks the categories as the minimal form of identity, but “Kant turns this identity itself, which is Reason, into an object of philosophical reflection, and thus this identity vanishes from its home ground.”</w:t>
      </w:r>
      <w:r w:rsidRPr="00772ED2">
        <w:rPr>
          <w:rStyle w:val="FootnoteReference"/>
          <w:rFonts w:eastAsia="Aptos"/>
        </w:rPr>
        <w:footnoteReference w:id="28"/>
      </w:r>
      <w:r w:rsidRPr="00772ED2">
        <w:t xml:space="preserve"> If Kant “made them [the categories] into supreme principles capable of nullifying the language that expresses the Absolute itself,” he also “made the categories into static, dead pigeonholes of the intellect.”</w:t>
      </w:r>
      <w:r w:rsidRPr="00772ED2">
        <w:rPr>
          <w:rStyle w:val="FootnoteReference"/>
          <w:rFonts w:eastAsia="Aptos"/>
        </w:rPr>
        <w:footnoteReference w:id="29"/>
      </w:r>
      <w:r w:rsidRPr="00772ED2">
        <w:t xml:space="preserve"> </w:t>
      </w:r>
    </w:p>
    <w:p w14:paraId="7CDD14BE" w14:textId="77777777" w:rsidR="00C23D59" w:rsidRPr="00772ED2" w:rsidRDefault="00C23D59" w:rsidP="00C23D59">
      <w:pPr>
        <w:spacing w:line="480" w:lineRule="auto"/>
        <w:ind w:firstLine="720"/>
        <w:jc w:val="both"/>
      </w:pPr>
      <w:r w:rsidRPr="00772ED2">
        <w:t>To better understand Hegel’s point, we have to see how in Kant’s treatment of the categories he turns from a speculative to a reflective mode and comes to rely on and invoke dichotomies that undermine the speculative dimension of his treatment of the categories. Hegel objects that in Kant “The identity of subject and object is limited to twelve acts of pure thought—</w:t>
      </w:r>
      <w:r w:rsidRPr="00772ED2">
        <w:lastRenderedPageBreak/>
        <w:t>or rather, to nine only, for modality really determines nothing objectively; the nonidentity of subject and object essentially pertains to it.”</w:t>
      </w:r>
      <w:r w:rsidRPr="00772ED2">
        <w:rPr>
          <w:rStyle w:val="FootnoteReference"/>
          <w:rFonts w:eastAsia="Aptos"/>
        </w:rPr>
        <w:footnoteReference w:id="30"/>
      </w:r>
      <w:r w:rsidRPr="00772ED2">
        <w:t xml:space="preserve"> This comment expresses Hegel’s dissatisfaction with Kant’s method of deducing the categories. Hegel’s objects to Kant’s procedure in both the Metaphysical and Transcendental Deductions. This remark clearly concerns the Metaphysical Deduction, where Kant ‘deduces’ the table of the categories from elementary forms of judgment in formal logic. For Hegel, this is to treat the categories as merely given</w:t>
      </w:r>
      <w:r w:rsidRPr="00772ED2">
        <w:rPr>
          <w:i/>
          <w:iCs/>
        </w:rPr>
        <w:t xml:space="preserve"> </w:t>
      </w:r>
      <w:r w:rsidRPr="00772ED2">
        <w:t>and not understood, since this procedure can never explain why</w:t>
      </w:r>
      <w:r w:rsidRPr="00772ED2">
        <w:rPr>
          <w:i/>
          <w:iCs/>
        </w:rPr>
        <w:t xml:space="preserve"> </w:t>
      </w:r>
      <w:r w:rsidRPr="00772ED2">
        <w:t xml:space="preserve">these categories and not others are the necessary elementary forms of unity. And while it is not a particularly damning point, Hegel’s comment that the category of modality is not genuinely speculative is a reflection of Kant’s view that modal judgments do </w:t>
      </w:r>
      <w:r w:rsidRPr="00772ED2">
        <w:rPr>
          <w:i/>
          <w:iCs/>
        </w:rPr>
        <w:t xml:space="preserve">not </w:t>
      </w:r>
      <w:r w:rsidRPr="00772ED2">
        <w:t>concern the objects judged, but the subject’s attitude about their judgment, revealing another way that the specifics of Kant’s account fails to live up to the idea of the categories as elementary forms of unification common to subject and object alike.</w:t>
      </w:r>
      <w:r w:rsidRPr="00772ED2">
        <w:rPr>
          <w:rStyle w:val="FootnoteReference"/>
          <w:rFonts w:eastAsia="Aptos"/>
        </w:rPr>
        <w:footnoteReference w:id="31"/>
      </w:r>
      <w:r w:rsidRPr="00772ED2">
        <w:t xml:space="preserve"> </w:t>
      </w:r>
    </w:p>
    <w:p w14:paraId="4871B0F0" w14:textId="77777777" w:rsidR="00C23D59" w:rsidRPr="00772ED2" w:rsidRDefault="00C23D59" w:rsidP="00C23D59">
      <w:pPr>
        <w:spacing w:line="480" w:lineRule="auto"/>
        <w:jc w:val="both"/>
      </w:pPr>
      <w:r w:rsidRPr="00772ED2">
        <w:tab/>
        <w:t>A more compelling and ultimately damning objection Hegel raises concerns the Transcendental Deduction. While in the Transcendental Deduction Kant seeks to defend the objective validity of the categories, the strategy he employs requires the restriction of the employment of the categories to appearances. This feature of Kant’s account is traditionally referred to as the ‘phenomenality requirement.’</w:t>
      </w:r>
      <w:r w:rsidRPr="00772ED2">
        <w:rPr>
          <w:rStyle w:val="FootnoteReference"/>
          <w:rFonts w:eastAsia="Aptos"/>
        </w:rPr>
        <w:footnoteReference w:id="32"/>
      </w:r>
      <w:r w:rsidRPr="00772ED2">
        <w:t xml:space="preserve"> For Hegel, this essentially institutes a dichotomous opposition between appearances (as conditioned by sensibility) and the Absolute (or unconditioned reality). The categories do not determine the material content of sensations but only </w:t>
      </w:r>
      <w:r w:rsidRPr="00772ED2">
        <w:lastRenderedPageBreak/>
        <w:t xml:space="preserve">reflect the subjective conditions of our kind of finite cognition: “Outside what is objectively determined by the categories there remained an enormous empirical realm of sensibility and perception, an absolutely </w:t>
      </w:r>
      <w:r w:rsidRPr="00772ED2">
        <w:rPr>
          <w:i/>
          <w:iCs/>
        </w:rPr>
        <w:t xml:space="preserve">a posteriori </w:t>
      </w:r>
      <w:r w:rsidRPr="00772ED2">
        <w:t>realm. For this realm the only a priori principle discovered is merely a subjective maxim of the faculty of reflecting judgment. That is to say, nonidentity is raised to an absolute principle.”</w:t>
      </w:r>
      <w:r w:rsidRPr="00772ED2">
        <w:rPr>
          <w:rStyle w:val="FootnoteReference"/>
          <w:rFonts w:eastAsia="Aptos"/>
        </w:rPr>
        <w:footnoteReference w:id="33"/>
      </w:r>
      <w:r w:rsidRPr="00772ED2">
        <w:t xml:space="preserve"> In other words, Kant’s defense of the objective validity of the categories is only legitimate for those with subjective constitutions like our own, and the material content of sensibility always remains outside of the scope of Kant’s Deduction, and the true force of the </w:t>
      </w:r>
      <w:r w:rsidRPr="00772ED2">
        <w:rPr>
          <w:i/>
          <w:iCs/>
        </w:rPr>
        <w:t xml:space="preserve">quid juris </w:t>
      </w:r>
      <w:r w:rsidRPr="00772ED2">
        <w:t>question remains unanswered.</w:t>
      </w:r>
      <w:r w:rsidRPr="00772ED2">
        <w:rPr>
          <w:rStyle w:val="FootnoteReference"/>
          <w:rFonts w:eastAsia="Aptos"/>
        </w:rPr>
        <w:footnoteReference w:id="34"/>
      </w:r>
      <w:r w:rsidRPr="00772ED2">
        <w:t xml:space="preserve"> </w:t>
      </w:r>
    </w:p>
    <w:p w14:paraId="4C9DC107" w14:textId="77777777" w:rsidR="00C23D59" w:rsidRPr="00772ED2" w:rsidRDefault="00C23D59" w:rsidP="00C23D59">
      <w:pPr>
        <w:spacing w:line="480" w:lineRule="auto"/>
        <w:jc w:val="both"/>
      </w:pPr>
    </w:p>
    <w:p w14:paraId="5B02FB37" w14:textId="77777777" w:rsidR="00C23D59" w:rsidRPr="00772ED2" w:rsidRDefault="00C23D59" w:rsidP="00C23D59">
      <w:pPr>
        <w:pStyle w:val="Heading2"/>
        <w:rPr>
          <w:i/>
          <w:iCs/>
        </w:rPr>
      </w:pPr>
      <w:bookmarkStart w:id="3" w:name="_Toc201423801"/>
      <w:r w:rsidRPr="00772ED2">
        <w:t xml:space="preserve">§2.3 The Speculative Side of the </w:t>
      </w:r>
      <w:r w:rsidRPr="00772ED2">
        <w:rPr>
          <w:i/>
          <w:iCs/>
        </w:rPr>
        <w:t>Wissenschaftslehre</w:t>
      </w:r>
      <w:bookmarkEnd w:id="3"/>
    </w:p>
    <w:p w14:paraId="1C6C465F" w14:textId="77777777" w:rsidR="00C23D59" w:rsidRPr="00772ED2" w:rsidRDefault="00C23D59" w:rsidP="00C23D59">
      <w:pPr>
        <w:spacing w:line="480" w:lineRule="auto"/>
        <w:jc w:val="both"/>
      </w:pPr>
      <w:r w:rsidRPr="00772ED2">
        <w:t xml:space="preserve">So, Hegel believes that the idea underlying Kant’s transcendental treatment of the categories is speculative, but that his way of realizing this idea in his attempt at deducing the categories is reflective, because he is required to invoke and reinstate dichotomous distinctions separating the subjective and the objective. If Fichte’s philosophy is an advance over Kant’s, it is because his philosophical system is truer to the speculative idea underlying the categories. </w:t>
      </w:r>
      <w:r w:rsidRPr="00772ED2">
        <w:rPr>
          <w:i/>
          <w:iCs/>
        </w:rPr>
        <w:t xml:space="preserve">But how, specifically, does Fichte endeavor to resolve the myriad problems underlying Kant’s treatment of the categories? </w:t>
      </w:r>
      <w:r w:rsidRPr="00772ED2">
        <w:t xml:space="preserve">Many interpretations of Hegel’s work are very murky on this point because they tend to conflate Kant and Fichte’s contributions to the history of philosophy and basically treat them as identical. It is essential to Hegel’s account, however, that Fichte does not only announce various dissatisfactions with the Kantian system of philosophy but genuinely </w:t>
      </w:r>
      <w:r w:rsidRPr="00772ED2">
        <w:rPr>
          <w:i/>
          <w:iCs/>
        </w:rPr>
        <w:t xml:space="preserve">refutes it </w:t>
      </w:r>
      <w:r w:rsidRPr="00772ED2">
        <w:t xml:space="preserve">by </w:t>
      </w:r>
      <w:r w:rsidRPr="00772ED2">
        <w:rPr>
          <w:i/>
          <w:iCs/>
        </w:rPr>
        <w:t xml:space="preserve">resolving </w:t>
      </w:r>
      <w:r w:rsidRPr="00772ED2">
        <w:t xml:space="preserve">the problems with Kant’s treatment of the categories in the </w:t>
      </w:r>
      <w:r w:rsidRPr="00772ED2">
        <w:rPr>
          <w:i/>
          <w:iCs/>
        </w:rPr>
        <w:t xml:space="preserve">Critique of Pure Reason. </w:t>
      </w:r>
      <w:r w:rsidRPr="00772ED2">
        <w:t xml:space="preserve">Having now </w:t>
      </w:r>
      <w:r w:rsidRPr="00772ED2">
        <w:lastRenderedPageBreak/>
        <w:t xml:space="preserve">established various objections to Kant the question now is: what is Fichte’s </w:t>
      </w:r>
      <w:r w:rsidRPr="00772ED2">
        <w:rPr>
          <w:i/>
          <w:iCs/>
        </w:rPr>
        <w:t xml:space="preserve">positive </w:t>
      </w:r>
      <w:r w:rsidRPr="00772ED2">
        <w:t xml:space="preserve">contribution to the development of philosophy, such that Hegel names Fichte rather than Kant as the primary philosopher of his own epoch? </w:t>
      </w:r>
    </w:p>
    <w:p w14:paraId="00D478BE" w14:textId="7064AF41" w:rsidR="00C23D59" w:rsidRPr="00772ED2" w:rsidRDefault="00C23D59" w:rsidP="00C23D59">
      <w:pPr>
        <w:spacing w:line="480" w:lineRule="auto"/>
        <w:ind w:firstLine="720"/>
        <w:jc w:val="both"/>
      </w:pPr>
      <w:r w:rsidRPr="00772ED2">
        <w:t>Hegel’s answer is unambiguous. The speculative dimension of Fichte’s philosophy that resolves the Kantian problems concerning the derivation of the categories is Fichte’s account of self-positing: “The principle of Fichte’s system is the pure thinking that thinks itself, the identity of subject and object, in the form I = I.”</w:t>
      </w:r>
      <w:r w:rsidRPr="00772ED2">
        <w:rPr>
          <w:rStyle w:val="FootnoteReference"/>
          <w:rFonts w:eastAsia="Aptos"/>
        </w:rPr>
        <w:footnoteReference w:id="35"/>
      </w:r>
      <w:r w:rsidRPr="00772ED2">
        <w:t xml:space="preserve"> Before detailing Hegel’s interpretation of self-positing, it is important to get a handle on how Fichte uses this concept. Fichte’s notion of self-positing expresses the idea that every action of consciousness is intrinsically reflexive. Fichte’s idea is that when I posit </w:t>
      </w:r>
      <w:r w:rsidRPr="00772ED2">
        <w:rPr>
          <w:i/>
          <w:iCs/>
        </w:rPr>
        <w:t>X</w:t>
      </w:r>
      <w:r w:rsidRPr="00772ED2">
        <w:t xml:space="preserve">, </w:t>
      </w:r>
      <w:proofErr w:type="gramStart"/>
      <w:r w:rsidRPr="00772ED2">
        <w:t>I equally</w:t>
      </w:r>
      <w:proofErr w:type="gramEnd"/>
      <w:r w:rsidRPr="00772ED2">
        <w:t xml:space="preserve"> must implicitly posit my own ability to posit </w:t>
      </w:r>
      <w:r w:rsidRPr="00772ED2">
        <w:rPr>
          <w:i/>
          <w:iCs/>
        </w:rPr>
        <w:t>X</w:t>
      </w:r>
      <w:r w:rsidR="00484AEC">
        <w:rPr>
          <w:i/>
          <w:iCs/>
        </w:rPr>
        <w:t xml:space="preserve"> </w:t>
      </w:r>
      <w:r w:rsidR="00484AEC">
        <w:t>in that very act</w:t>
      </w:r>
      <w:r w:rsidRPr="00772ED2">
        <w:rPr>
          <w:i/>
          <w:iCs/>
        </w:rPr>
        <w:t xml:space="preserve">. </w:t>
      </w:r>
      <w:r w:rsidRPr="00772ED2">
        <w:t xml:space="preserve">In other words, each act of consciousness contains a reflexive (but not for all of that </w:t>
      </w:r>
      <w:r w:rsidRPr="00772ED2">
        <w:rPr>
          <w:i/>
          <w:iCs/>
        </w:rPr>
        <w:t>reflective</w:t>
      </w:r>
      <w:r w:rsidRPr="00772ED2">
        <w:t>) form of self-awareness. This idea is clearly based on Kant’s claim in the Transcendental Deduction that it is a fundamental structure of our transcendental constitution that it must be possible to add ‘I think’ to any judgment or representation.</w:t>
      </w:r>
      <w:r w:rsidRPr="00772ED2">
        <w:rPr>
          <w:rStyle w:val="FootnoteReference"/>
          <w:rFonts w:eastAsia="Aptos"/>
        </w:rPr>
        <w:footnoteReference w:id="36"/>
      </w:r>
      <w:r w:rsidRPr="00772ED2">
        <w:t xml:space="preserve"> In the </w:t>
      </w:r>
      <w:r w:rsidRPr="00772ED2">
        <w:rPr>
          <w:i/>
          <w:iCs/>
        </w:rPr>
        <w:t xml:space="preserve">Foundation of the Entire Wissenschaftslehre, </w:t>
      </w:r>
      <w:r w:rsidRPr="00772ED2">
        <w:t>Fichte endeavors to prove that self-positing is contained in all acts of positing whatsoever, and moreover that all other actions of self-consciousness can be ‘derived’ from this most foundational action of the mind.</w:t>
      </w:r>
      <w:r w:rsidRPr="00772ED2">
        <w:rPr>
          <w:rStyle w:val="FootnoteReference"/>
          <w:rFonts w:eastAsia="Aptos"/>
        </w:rPr>
        <w:footnoteReference w:id="37"/>
      </w:r>
    </w:p>
    <w:p w14:paraId="7228B669" w14:textId="08812EFA" w:rsidR="00C23D59" w:rsidRPr="00772ED2" w:rsidRDefault="00C23D59" w:rsidP="00C23D59">
      <w:pPr>
        <w:spacing w:line="480" w:lineRule="auto"/>
        <w:jc w:val="both"/>
      </w:pPr>
      <w:r w:rsidRPr="00772ED2">
        <w:tab/>
        <w:t xml:space="preserve">It is easy to see why Hegel is enamored with Fichte’s account of self-positing from what we have said so far about Hegel’s understanding of the purpose of philosophy and his evaluation of Kant. Fichte tries to show that there is a simple, elementary, and unsurpassable identity that </w:t>
      </w:r>
      <w:r w:rsidRPr="00772ED2">
        <w:lastRenderedPageBreak/>
        <w:t>gives way to the richness and diversity of the empirical world. It also abandons aspects of Kant’s account that Hegel considered reflective. There is in Fichte no phenomenality requirement, and Fichte rejects the Kantian distinction between appearances and things in themselves, taking the latter notion to be not only uncognizable but even unthinkable.</w:t>
      </w:r>
      <w:r w:rsidRPr="00772ED2">
        <w:rPr>
          <w:rStyle w:val="FootnoteReference"/>
          <w:rFonts w:eastAsia="Aptos"/>
        </w:rPr>
        <w:footnoteReference w:id="38"/>
      </w:r>
      <w:r w:rsidRPr="00772ED2">
        <w:t xml:space="preserve">  The Kantian gap is closed, and for Fichte the world </w:t>
      </w:r>
      <w:r w:rsidRPr="00772ED2">
        <w:rPr>
          <w:i/>
          <w:iCs/>
        </w:rPr>
        <w:t>is</w:t>
      </w:r>
      <w:r w:rsidRPr="00772ED2">
        <w:t>, as such, how consciousness takes it to be in its positing, and nothing besides. Fichte also has a much stricter deductive procedure for establishing the categories, since the categories are ‘unfolded’ from an absolutely prior elementary principle and are not merely externally given.</w:t>
      </w:r>
      <w:r w:rsidR="007547F0">
        <w:rPr>
          <w:rStyle w:val="FootnoteReference"/>
        </w:rPr>
        <w:footnoteReference w:id="39"/>
      </w:r>
      <w:r w:rsidRPr="00772ED2">
        <w:t xml:space="preserve"> So, it is easy to see in a big picture way why Hegel would prefer Fichte’s notion of self-positing and attempt at ‘deducing’ the categories over the haphazard and ‘empirical’ approach of the </w:t>
      </w:r>
      <w:r w:rsidRPr="00772ED2">
        <w:rPr>
          <w:i/>
          <w:iCs/>
        </w:rPr>
        <w:t>Critique of Pure Reason.</w:t>
      </w:r>
    </w:p>
    <w:p w14:paraId="1EEACC7D" w14:textId="36A3A553" w:rsidR="00C23D59" w:rsidRPr="00772ED2" w:rsidRDefault="00C23D59" w:rsidP="00C23D59">
      <w:pPr>
        <w:spacing w:line="480" w:lineRule="auto"/>
        <w:jc w:val="both"/>
      </w:pPr>
      <w:r w:rsidRPr="00772ED2">
        <w:tab/>
        <w:t xml:space="preserve">But I think that this aspect of Hegel’s assessment of Fichte is still quite general and abstract. To really penetrate to the core of Hegel’s view, I think it is essential to reconstruct some obscure features of Fichte’s account of self-positing. Fichte begins the first part of the </w:t>
      </w:r>
      <w:r w:rsidRPr="00772ED2">
        <w:rPr>
          <w:i/>
          <w:iCs/>
        </w:rPr>
        <w:t xml:space="preserve">Foundation of the Entire Wissenschaftslehre </w:t>
      </w:r>
      <w:r w:rsidRPr="00772ED2">
        <w:t xml:space="preserve">with the statement that “The foundational principle is supposed to express the </w:t>
      </w:r>
      <w:r w:rsidRPr="00772ED2">
        <w:rPr>
          <w:i/>
          <w:iCs/>
        </w:rPr>
        <w:t xml:space="preserve">F/Act </w:t>
      </w:r>
      <w:r w:rsidRPr="00772ED2">
        <w:t>[</w:t>
      </w:r>
      <w:r w:rsidRPr="00772ED2">
        <w:rPr>
          <w:i/>
          <w:iCs/>
        </w:rPr>
        <w:t>Tathandlung</w:t>
      </w:r>
      <w:r w:rsidRPr="00772ED2">
        <w:t>] which neither appears nor can appear among the empirical determinations of our consciousness, but instead lies at the basis of all consciousness and alone makes consciousness possible.”</w:t>
      </w:r>
      <w:r w:rsidRPr="00772ED2">
        <w:rPr>
          <w:rStyle w:val="FootnoteReference"/>
          <w:rFonts w:eastAsia="Aptos"/>
        </w:rPr>
        <w:footnoteReference w:id="40"/>
      </w:r>
      <w:r w:rsidRPr="00772ED2">
        <w:t xml:space="preserve"> The key term here is </w:t>
      </w:r>
      <w:r w:rsidRPr="00772ED2">
        <w:rPr>
          <w:i/>
          <w:iCs/>
        </w:rPr>
        <w:t xml:space="preserve">Tathandlung, </w:t>
      </w:r>
      <w:r w:rsidRPr="00772ED2">
        <w:t xml:space="preserve">a neologism </w:t>
      </w:r>
      <w:r w:rsidR="007547F0">
        <w:t>peculiar to Fichte’s philosophy</w:t>
      </w:r>
      <w:r w:rsidRPr="00772ED2">
        <w:t xml:space="preserve"> that conjoins </w:t>
      </w:r>
      <w:r w:rsidR="007547F0">
        <w:t>‘deed’</w:t>
      </w:r>
      <w:r w:rsidR="007547F0" w:rsidRPr="00772ED2">
        <w:t xml:space="preserve"> </w:t>
      </w:r>
      <w:r w:rsidRPr="00772ED2">
        <w:t>(“</w:t>
      </w:r>
      <w:r w:rsidRPr="00772ED2">
        <w:rPr>
          <w:i/>
          <w:iCs/>
        </w:rPr>
        <w:t>Tat</w:t>
      </w:r>
      <w:r w:rsidRPr="00772ED2">
        <w:t xml:space="preserve">”) and </w:t>
      </w:r>
      <w:r w:rsidR="007547F0">
        <w:t>action</w:t>
      </w:r>
      <w:r w:rsidR="007547F0" w:rsidRPr="00772ED2">
        <w:t xml:space="preserve"> </w:t>
      </w:r>
      <w:r w:rsidRPr="00772ED2">
        <w:t>(“</w:t>
      </w:r>
      <w:r w:rsidRPr="00772ED2">
        <w:rPr>
          <w:i/>
          <w:iCs/>
        </w:rPr>
        <w:t>Handlung</w:t>
      </w:r>
      <w:r w:rsidRPr="00772ED2">
        <w:t>”).</w:t>
      </w:r>
      <w:r w:rsidR="007547F0">
        <w:rPr>
          <w:rStyle w:val="FootnoteReference"/>
        </w:rPr>
        <w:footnoteReference w:id="41"/>
      </w:r>
      <w:r w:rsidRPr="00772ED2">
        <w:t xml:space="preserve"> What Fichte means </w:t>
      </w:r>
      <w:r w:rsidRPr="00772ED2">
        <w:lastRenderedPageBreak/>
        <w:t xml:space="preserve">with this declaration is that the form of Fichte’s </w:t>
      </w:r>
      <w:r w:rsidRPr="00772ED2">
        <w:rPr>
          <w:i/>
          <w:iCs/>
        </w:rPr>
        <w:t xml:space="preserve">Grundsätze </w:t>
      </w:r>
      <w:r w:rsidRPr="00772ED2">
        <w:t xml:space="preserve">will not take the traditional form of principles of knowledge found in thinkers in Euclid, Spinoza, Wolff, and Reinhold. For each of these them, principles express necessary relations governing things. For Fichte, however, the </w:t>
      </w:r>
      <w:r w:rsidRPr="00772ED2">
        <w:rPr>
          <w:i/>
          <w:iCs/>
        </w:rPr>
        <w:t xml:space="preserve">Grundsätze </w:t>
      </w:r>
      <w:r w:rsidRPr="00772ED2">
        <w:t xml:space="preserve">are only </w:t>
      </w:r>
      <w:r w:rsidRPr="00772ED2">
        <w:rPr>
          <w:i/>
          <w:iCs/>
        </w:rPr>
        <w:t xml:space="preserve">secondarily </w:t>
      </w:r>
      <w:r w:rsidRPr="00772ED2">
        <w:t xml:space="preserve">factive: they originally designate pure </w:t>
      </w:r>
      <w:r w:rsidRPr="00772ED2">
        <w:rPr>
          <w:i/>
          <w:iCs/>
        </w:rPr>
        <w:t xml:space="preserve">a priori </w:t>
      </w:r>
      <w:r w:rsidRPr="00772ED2">
        <w:t xml:space="preserve">activities of the human mind that found the series of conscious representations and so cannot naturally appear among this series. </w:t>
      </w:r>
    </w:p>
    <w:p w14:paraId="30B39D78" w14:textId="36D7C4FE" w:rsidR="00C23D59" w:rsidRPr="00772ED2" w:rsidRDefault="00C23D59" w:rsidP="00C23D59">
      <w:pPr>
        <w:spacing w:line="480" w:lineRule="auto"/>
        <w:ind w:firstLine="720"/>
        <w:jc w:val="both"/>
      </w:pPr>
      <w:r w:rsidRPr="00772ED2">
        <w:t xml:space="preserve">Fichte’s aim is to start with a fact that can be taken for granted in his demonstration and proceed reflectively to the transcendental act that grounds this fact. Fichte’s argumentative procedure in the </w:t>
      </w:r>
      <w:r w:rsidRPr="00772ED2">
        <w:rPr>
          <w:i/>
          <w:iCs/>
        </w:rPr>
        <w:t xml:space="preserve">Grundsätze </w:t>
      </w:r>
      <w:r w:rsidRPr="00772ED2">
        <w:t>begins with logical tautologies as simple and absolutely certain items of consciousness. In his first principle, Fichte uses the example of ‘A=A.’ The first step of Fichte’s argument is to show that even the recognition of simple logical tautologies requires the basic structure of self-conscious awareness that Fichte identifies with self-positing. His highly idiosyncratic way of putting this point is to say that the hypothetical judgment ‘A=A’ depends on the absolute judgment ‘I=I.’</w:t>
      </w:r>
      <w:r w:rsidRPr="00772ED2">
        <w:rPr>
          <w:rStyle w:val="FootnoteReference"/>
          <w:rFonts w:eastAsia="Aptos"/>
        </w:rPr>
        <w:footnoteReference w:id="42"/>
      </w:r>
      <w:r w:rsidRPr="00772ED2">
        <w:t xml:space="preserve"> Where X</w:t>
      </w:r>
      <w:r w:rsidRPr="00772ED2">
        <w:rPr>
          <w:i/>
          <w:iCs/>
        </w:rPr>
        <w:t xml:space="preserve"> </w:t>
      </w:r>
      <w:r w:rsidRPr="00772ED2">
        <w:t xml:space="preserve">is meant to designate the necessity of tautological judgments, Fichte states that “X is at least contained </w:t>
      </w:r>
      <w:r w:rsidRPr="00772ED2">
        <w:rPr>
          <w:i/>
          <w:iCs/>
        </w:rPr>
        <w:t xml:space="preserve">in </w:t>
      </w:r>
      <w:r w:rsidRPr="00772ED2">
        <w:t xml:space="preserve">the I and is posited </w:t>
      </w:r>
      <w:r w:rsidRPr="00772ED2">
        <w:rPr>
          <w:i/>
          <w:iCs/>
        </w:rPr>
        <w:t xml:space="preserve">by </w:t>
      </w:r>
      <w:r w:rsidRPr="00772ED2">
        <w:t>the I, since the I is that which judges in the case of the above proposition… X is therefore given to the I as a law, and since X is asserted purely and simply without any further ground, this law must be given to the I by itself.”</w:t>
      </w:r>
      <w:r w:rsidRPr="00772ED2">
        <w:rPr>
          <w:rStyle w:val="FootnoteReference"/>
          <w:rFonts w:eastAsia="Aptos"/>
        </w:rPr>
        <w:footnoteReference w:id="43"/>
      </w:r>
      <w:r w:rsidRPr="00772ED2">
        <w:t xml:space="preserve"> This initial point that Fichte makes in this regard is highly reminiscent of Kant’s Transcendental Deduction, since he identifies the I as the necessary medium in which judgment takes place.</w:t>
      </w:r>
      <w:r w:rsidRPr="00772ED2">
        <w:rPr>
          <w:rStyle w:val="FootnoteReference"/>
          <w:rFonts w:eastAsia="Aptos"/>
        </w:rPr>
        <w:footnoteReference w:id="44"/>
      </w:r>
      <w:r w:rsidRPr="00772ED2">
        <w:t xml:space="preserve"> While I can abstract from any given object of consciousness, I cannot abstract from the I.</w:t>
      </w:r>
    </w:p>
    <w:p w14:paraId="75ACD810" w14:textId="26D0DF28" w:rsidR="00C23D59" w:rsidRPr="00772ED2" w:rsidRDefault="00C23D59" w:rsidP="00C23D59">
      <w:pPr>
        <w:spacing w:line="480" w:lineRule="auto"/>
        <w:jc w:val="both"/>
      </w:pPr>
      <w:r w:rsidRPr="00772ED2">
        <w:lastRenderedPageBreak/>
        <w:tab/>
        <w:t>However, it is of essential importance that Fichte is not satisfied with his proof at this point. For Kant, it is a contingent and utterly inexplicable fact about our subjective constitution that we have the constellation of faculties that we do and that they harmonize differently in cognition, action, and judgment. This is the dimension of reflective externality in Kant’s account that both Fichte and Hegel consider totally unacceptable for a scientific system of philosophy. Fichte summarizes the Kantian contribution by writing that “…what is posited is that whatever the I may be doing – whether it is positing or judging or doing anything else – there is something [=X] in the I that is constantly self-identical, constantly one and the same; and this X that is posited purely and simply can be expressed as follows: ‘I = I’ or ‘I am I.’”</w:t>
      </w:r>
      <w:r w:rsidRPr="00772ED2">
        <w:rPr>
          <w:rStyle w:val="FootnoteReference"/>
          <w:rFonts w:eastAsia="Aptos"/>
        </w:rPr>
        <w:footnoteReference w:id="45"/>
      </w:r>
      <w:r w:rsidRPr="00772ED2">
        <w:t xml:space="preserve"> But here Fichte clarifies that we have still arrived at the proposition ‘I am’ </w:t>
      </w:r>
      <w:r w:rsidRPr="00772ED2">
        <w:rPr>
          <w:i/>
          <w:iCs/>
        </w:rPr>
        <w:t xml:space="preserve">not </w:t>
      </w:r>
      <w:r w:rsidRPr="00772ED2">
        <w:t xml:space="preserve">as a f/act or </w:t>
      </w:r>
      <w:r w:rsidRPr="00772ED2">
        <w:rPr>
          <w:i/>
          <w:iCs/>
        </w:rPr>
        <w:t xml:space="preserve">Tathandlung, </w:t>
      </w:r>
      <w:r w:rsidRPr="00772ED2">
        <w:t>but rather merely as a fact.</w:t>
      </w:r>
      <w:r w:rsidRPr="00772ED2">
        <w:rPr>
          <w:rStyle w:val="FootnoteReference"/>
          <w:rFonts w:eastAsia="Aptos"/>
        </w:rPr>
        <w:footnoteReference w:id="46"/>
      </w:r>
      <w:r w:rsidRPr="00772ED2">
        <w:t xml:space="preserve"> So far it is merely “a fact of empirical consciousness” that all judgment takes place within the I.</w:t>
      </w:r>
      <w:r w:rsidRPr="00772ED2">
        <w:rPr>
          <w:rStyle w:val="FootnoteReference"/>
          <w:rFonts w:eastAsia="Aptos"/>
        </w:rPr>
        <w:footnoteReference w:id="47"/>
      </w:r>
      <w:r w:rsidRPr="00772ED2">
        <w:t xml:space="preserve"> Even after Fichte has apparently shown that “A=A” is grounded in “I=I,” his proof is not finished, because he still has to show that the structure of the I is not merely a</w:t>
      </w:r>
      <w:r w:rsidR="00B15728">
        <w:t xml:space="preserve"> </w:t>
      </w:r>
      <w:r w:rsidRPr="00772ED2">
        <w:t xml:space="preserve">given fact for consciousness, but that it </w:t>
      </w:r>
      <w:r w:rsidRPr="00772ED2">
        <w:rPr>
          <w:i/>
          <w:iCs/>
        </w:rPr>
        <w:t xml:space="preserve">is </w:t>
      </w:r>
      <w:r w:rsidRPr="00772ED2">
        <w:t>the structure of positing as such.</w:t>
      </w:r>
    </w:p>
    <w:p w14:paraId="02E9C4FE" w14:textId="520A1443" w:rsidR="00C23D59" w:rsidRPr="00D0124E" w:rsidRDefault="00C23D59" w:rsidP="00C23D59">
      <w:pPr>
        <w:spacing w:line="480" w:lineRule="auto"/>
        <w:jc w:val="both"/>
      </w:pPr>
      <w:r w:rsidRPr="00772ED2">
        <w:tab/>
        <w:t xml:space="preserve">In other words, what Fichte endeavors to show in the second half of his argument for the first </w:t>
      </w:r>
      <w:r w:rsidRPr="00772ED2">
        <w:rPr>
          <w:i/>
          <w:iCs/>
        </w:rPr>
        <w:t xml:space="preserve">Grundsatz </w:t>
      </w:r>
      <w:r w:rsidRPr="00772ED2">
        <w:t xml:space="preserve">is that the I </w:t>
      </w:r>
      <w:proofErr w:type="gramStart"/>
      <w:r w:rsidRPr="00772ED2">
        <w:rPr>
          <w:i/>
          <w:iCs/>
        </w:rPr>
        <w:t>is</w:t>
      </w:r>
      <w:proofErr w:type="gramEnd"/>
      <w:r w:rsidRPr="00772ED2">
        <w:rPr>
          <w:i/>
          <w:iCs/>
        </w:rPr>
        <w:t xml:space="preserve"> </w:t>
      </w:r>
      <w:r w:rsidRPr="00772ED2">
        <w:t xml:space="preserve">its self-positing. The salience of Fichte’s point is really revealed by considering the contrast case. What if the ‘I’ were merely a psychological form? It could, after all, be the case that it is a contingent fact of our psychological constitution that we are forced to silently </w:t>
      </w:r>
      <w:r w:rsidRPr="00772ED2">
        <w:lastRenderedPageBreak/>
        <w:t xml:space="preserve">add ‘I think’ to all of our judgments and representations, and if that is true then neither Fichte’s account of self-positing nor Kant’s account of the transcendental unity of apperception would have any of the normative </w:t>
      </w:r>
      <w:proofErr w:type="gramStart"/>
      <w:r w:rsidRPr="00772ED2">
        <w:t>force</w:t>
      </w:r>
      <w:proofErr w:type="gramEnd"/>
      <w:r w:rsidRPr="00772ED2">
        <w:t xml:space="preserve"> they attribute to it. What Fichte has to show is that self-positing is not a contingent feature of I-hood, but indeed its very essence: he has to show that “the </w:t>
      </w:r>
      <w:r w:rsidRPr="00772ED2">
        <w:rPr>
          <w:i/>
          <w:iCs/>
        </w:rPr>
        <w:t xml:space="preserve">I </w:t>
      </w:r>
      <w:r w:rsidRPr="00772ED2">
        <w:t xml:space="preserve">is, </w:t>
      </w:r>
      <w:r w:rsidRPr="00772ED2">
        <w:rPr>
          <w:i/>
          <w:iCs/>
        </w:rPr>
        <w:t xml:space="preserve">because </w:t>
      </w:r>
      <w:r w:rsidRPr="00772ED2">
        <w:t>it has posited itself.”</w:t>
      </w:r>
      <w:r w:rsidRPr="00772ED2">
        <w:rPr>
          <w:rStyle w:val="FootnoteReference"/>
          <w:rFonts w:eastAsia="Aptos"/>
        </w:rPr>
        <w:footnoteReference w:id="48"/>
      </w:r>
      <w:r w:rsidRPr="00772ED2">
        <w:t xml:space="preserve"> </w:t>
      </w:r>
      <w:r w:rsidRPr="00772ED2">
        <w:rPr>
          <w:i/>
          <w:iCs/>
        </w:rPr>
        <w:t xml:space="preserve"> </w:t>
      </w:r>
      <w:r w:rsidRPr="00772ED2">
        <w:t>For Fichte, this means that he must show that “The I in the first [subject] sense and the I in the second [predicate] sense are supposed to be purely and simply the same [</w:t>
      </w:r>
      <w:r w:rsidRPr="00772ED2">
        <w:rPr>
          <w:i/>
          <w:iCs/>
        </w:rPr>
        <w:t>gleich</w:t>
      </w:r>
      <w:r w:rsidRPr="00772ED2">
        <w:t xml:space="preserve">]… It </w:t>
      </w:r>
      <w:r w:rsidRPr="00772ED2">
        <w:rPr>
          <w:i/>
          <w:iCs/>
        </w:rPr>
        <w:t xml:space="preserve">posits </w:t>
      </w:r>
      <w:r w:rsidRPr="00772ED2">
        <w:t xml:space="preserve">itself through its mere being, and it </w:t>
      </w:r>
      <w:r w:rsidRPr="00772ED2">
        <w:rPr>
          <w:i/>
          <w:iCs/>
        </w:rPr>
        <w:t xml:space="preserve">is </w:t>
      </w:r>
      <w:r w:rsidRPr="00772ED2">
        <w:t>through its mere being-posited [</w:t>
      </w:r>
      <w:r w:rsidRPr="00772ED2">
        <w:rPr>
          <w:i/>
          <w:iCs/>
        </w:rPr>
        <w:t>Gesetztseyn</w:t>
      </w:r>
      <w:r w:rsidRPr="00772ED2">
        <w:t>].”</w:t>
      </w:r>
      <w:r w:rsidRPr="00772ED2">
        <w:rPr>
          <w:rStyle w:val="FootnoteReference"/>
          <w:rFonts w:eastAsia="Aptos"/>
        </w:rPr>
        <w:footnoteReference w:id="49"/>
      </w:r>
      <w:r w:rsidR="00D0124E">
        <w:t xml:space="preserve"> As we shall see in more detail, it is precisely this quality of </w:t>
      </w:r>
      <w:r w:rsidR="00D0124E">
        <w:rPr>
          <w:i/>
          <w:iCs/>
        </w:rPr>
        <w:t xml:space="preserve">Gesetztseyn </w:t>
      </w:r>
      <w:r w:rsidR="00D0124E">
        <w:t>that defines the unique character of Fichte’s theory of self-positing.</w:t>
      </w:r>
    </w:p>
    <w:p w14:paraId="5D36FC65" w14:textId="66E86999" w:rsidR="00C23D59" w:rsidRPr="00772ED2" w:rsidRDefault="00C23D59" w:rsidP="00C23D59">
      <w:pPr>
        <w:spacing w:line="480" w:lineRule="auto"/>
        <w:jc w:val="both"/>
      </w:pPr>
      <w:r w:rsidRPr="00772ED2">
        <w:tab/>
        <w:t xml:space="preserve">While it is not possible to reconstruct the entirety of Fichte’s demonstration </w:t>
      </w:r>
      <w:r w:rsidR="00D0124E">
        <w:t>in this context</w:t>
      </w:r>
      <w:r w:rsidRPr="00772ED2">
        <w:t xml:space="preserve">, from what has been said so </w:t>
      </w:r>
      <w:proofErr w:type="gramStart"/>
      <w:r w:rsidRPr="00772ED2">
        <w:t>far</w:t>
      </w:r>
      <w:proofErr w:type="gramEnd"/>
      <w:r w:rsidRPr="00772ED2">
        <w:t xml:space="preserve"> it should be easy to see why Hegel would be enamored with this specific feature of Fichte’s argument. Fichte promises an absolutely necessary and completely immanent deduction of thought-determinations, not from any externally given fact, but from the structure of pure thinking itself. Fichte’s demonstrations do not entertain any dichotomies between what the I is and how the I takes itself, the I as subject and the I as predicate, and is instead grounded completely on their absolute identity. Yet, this is not a monochromatic formalism, and the original identity of the I allows for its unfolding into the I as subject and I as predicate, i.e., into difference. In Fichte’s account of self-positing, and in particular his concept of </w:t>
      </w:r>
      <w:r w:rsidRPr="00772ED2">
        <w:rPr>
          <w:i/>
          <w:iCs/>
        </w:rPr>
        <w:t>Gesetztseyn,</w:t>
      </w:r>
      <w:r w:rsidRPr="00772ED2">
        <w:t xml:space="preserve"> he closes the gap completely between what the I is and what the I takes itself to be and postulates a primary and fundamental unity undergirding all intentional acts and all possibility of thought, and this is exactly what Hegel conceives as the necessary task of all philosophical inquiry.</w:t>
      </w:r>
      <w:r w:rsidRPr="00772ED2">
        <w:rPr>
          <w:rStyle w:val="FootnoteReference"/>
          <w:rFonts w:eastAsia="Aptos"/>
        </w:rPr>
        <w:footnoteReference w:id="50"/>
      </w:r>
      <w:r w:rsidRPr="00772ED2">
        <w:t xml:space="preserve"> </w:t>
      </w:r>
    </w:p>
    <w:p w14:paraId="217D8A68" w14:textId="77777777" w:rsidR="00C23D59" w:rsidRPr="00772ED2" w:rsidRDefault="00C23D59" w:rsidP="00C23D59">
      <w:pPr>
        <w:spacing w:line="480" w:lineRule="auto"/>
        <w:jc w:val="both"/>
      </w:pPr>
    </w:p>
    <w:p w14:paraId="68338ED9" w14:textId="77777777" w:rsidR="00C23D59" w:rsidRPr="00772ED2" w:rsidRDefault="00C23D59" w:rsidP="00C23D59">
      <w:pPr>
        <w:pStyle w:val="Heading2"/>
        <w:rPr>
          <w:i/>
          <w:iCs/>
        </w:rPr>
      </w:pPr>
      <w:bookmarkStart w:id="4" w:name="_Toc201423802"/>
      <w:r w:rsidRPr="00772ED2">
        <w:t xml:space="preserve">§2.4 The Reflective Side of the </w:t>
      </w:r>
      <w:r w:rsidRPr="00772ED2">
        <w:rPr>
          <w:i/>
          <w:iCs/>
        </w:rPr>
        <w:t>Wissenschaftslehre</w:t>
      </w:r>
      <w:bookmarkEnd w:id="4"/>
    </w:p>
    <w:p w14:paraId="1CFBF739" w14:textId="6D977923" w:rsidR="00C23D59" w:rsidRPr="00772ED2" w:rsidRDefault="00C23D59" w:rsidP="00C23D59">
      <w:pPr>
        <w:spacing w:line="480" w:lineRule="auto"/>
        <w:jc w:val="both"/>
      </w:pPr>
      <w:r w:rsidRPr="00772ED2">
        <w:t xml:space="preserve">Yet, for all of Hegel’s praise for Fichte’s first principle, the center of gravity of the </w:t>
      </w:r>
      <w:r w:rsidRPr="00772ED2">
        <w:rPr>
          <w:i/>
          <w:iCs/>
        </w:rPr>
        <w:t>Differenzs</w:t>
      </w:r>
      <w:r w:rsidR="00C22698">
        <w:rPr>
          <w:i/>
          <w:iCs/>
        </w:rPr>
        <w:t>c</w:t>
      </w:r>
      <w:r w:rsidRPr="00772ED2">
        <w:rPr>
          <w:i/>
          <w:iCs/>
        </w:rPr>
        <w:t xml:space="preserve">hrift </w:t>
      </w:r>
      <w:r w:rsidRPr="00772ED2">
        <w:t>is critical</w:t>
      </w:r>
      <w:r w:rsidRPr="00772ED2">
        <w:rPr>
          <w:i/>
          <w:iCs/>
        </w:rPr>
        <w:t xml:space="preserve">. </w:t>
      </w:r>
      <w:r w:rsidRPr="00772ED2">
        <w:t>In particular, Hegel asserts over and over and in many guises that Fichte never lives up to the speculative insight of his first principle in the system of philosophy that follows it. Here is a representative passage:</w:t>
      </w:r>
    </w:p>
    <w:p w14:paraId="0947F7C3" w14:textId="77777777" w:rsidR="00C23D59" w:rsidRPr="00772ED2" w:rsidRDefault="00C23D59" w:rsidP="00C23D59">
      <w:pPr>
        <w:ind w:left="720" w:right="720"/>
        <w:jc w:val="both"/>
      </w:pPr>
      <w:r w:rsidRPr="00772ED2">
        <w:t xml:space="preserve">However, as soon as [Fichte’s] speculation steps outside of the concept that it establishes of itself and evolves into a system, it abandons itself and its principle and does not come back to it again. It surrenders Reason </w:t>
      </w:r>
      <w:proofErr w:type="gramStart"/>
      <w:r w:rsidRPr="00772ED2">
        <w:t>to</w:t>
      </w:r>
      <w:proofErr w:type="gramEnd"/>
      <w:r w:rsidRPr="00772ED2">
        <w:t xml:space="preserve"> the intellect and passes over into the chain of finite [acts and objects] of consciousness from which it never reconstructs itself again as identity and true infinity.</w:t>
      </w:r>
      <w:r w:rsidRPr="00772ED2">
        <w:rPr>
          <w:rStyle w:val="FootnoteReference"/>
          <w:rFonts w:eastAsia="Aptos"/>
        </w:rPr>
        <w:footnoteReference w:id="51"/>
      </w:r>
    </w:p>
    <w:p w14:paraId="28F8B434" w14:textId="77777777" w:rsidR="00C23D59" w:rsidRPr="00772ED2" w:rsidRDefault="00C23D59" w:rsidP="00C23D59">
      <w:pPr>
        <w:ind w:left="720" w:right="720"/>
        <w:jc w:val="both"/>
      </w:pPr>
    </w:p>
    <w:p w14:paraId="682609DA" w14:textId="77777777" w:rsidR="00C23D59" w:rsidRPr="00772ED2" w:rsidRDefault="00C23D59" w:rsidP="00C23D59">
      <w:pPr>
        <w:spacing w:line="480" w:lineRule="auto"/>
        <w:jc w:val="both"/>
      </w:pPr>
      <w:r w:rsidRPr="00772ED2">
        <w:t xml:space="preserve">In other words, when analyzing Fichte’s system, Hegel wants to draw our attention specifically to the arguments and systematic implications that Fichte takes to </w:t>
      </w:r>
      <w:r w:rsidRPr="00772ED2">
        <w:rPr>
          <w:i/>
          <w:iCs/>
        </w:rPr>
        <w:t xml:space="preserve">follow </w:t>
      </w:r>
      <w:r w:rsidRPr="00772ED2">
        <w:t>from the first principle, reflecting his earlier comment that the two sides of Fichte’s system “must be shown to be an inner necessity of the problem itself (</w:t>
      </w:r>
      <w:r w:rsidRPr="00772ED2">
        <w:rPr>
          <w:i/>
          <w:iCs/>
        </w:rPr>
        <w:t>die Sache selbst</w:t>
      </w:r>
      <w:r w:rsidRPr="00772ED2">
        <w:t>).”</w:t>
      </w:r>
      <w:r w:rsidRPr="00772ED2">
        <w:rPr>
          <w:rStyle w:val="FootnoteReference"/>
          <w:rFonts w:eastAsia="Aptos"/>
        </w:rPr>
        <w:footnoteReference w:id="52"/>
      </w:r>
      <w:r w:rsidRPr="00772ED2">
        <w:t xml:space="preserve"> Hegel’s reconstruction is highly nuanced and complex, involving not only a close reading of the </w:t>
      </w:r>
      <w:r w:rsidRPr="00772ED2">
        <w:rPr>
          <w:i/>
          <w:iCs/>
        </w:rPr>
        <w:t xml:space="preserve">Foundation of the Entire Wissenschaftslehre </w:t>
      </w:r>
      <w:r w:rsidRPr="00772ED2">
        <w:t xml:space="preserve">but also subsidiary texts such as the </w:t>
      </w:r>
      <w:r w:rsidRPr="00772ED2">
        <w:rPr>
          <w:i/>
          <w:iCs/>
        </w:rPr>
        <w:t xml:space="preserve">Foundations of Natural Right </w:t>
      </w:r>
      <w:r w:rsidRPr="00772ED2">
        <w:t xml:space="preserve">and the later 1797 “Attempt at a New Presentation of the </w:t>
      </w:r>
      <w:r w:rsidRPr="00772ED2">
        <w:rPr>
          <w:i/>
          <w:iCs/>
        </w:rPr>
        <w:t>Wissenschaftslehre.</w:t>
      </w:r>
      <w:r w:rsidRPr="00772ED2">
        <w:t xml:space="preserve">” Here I can only hope to treat Hegel’s reconstruction of the </w:t>
      </w:r>
      <w:r w:rsidRPr="00772ED2">
        <w:rPr>
          <w:i/>
          <w:iCs/>
        </w:rPr>
        <w:t>Foundation of the Entire Wissenschaftslehre</w:t>
      </w:r>
      <w:r w:rsidRPr="00772ED2">
        <w:t>, and even that in an incomplete way</w:t>
      </w:r>
      <w:r w:rsidRPr="00772ED2">
        <w:rPr>
          <w:i/>
          <w:iCs/>
        </w:rPr>
        <w:t xml:space="preserve">. </w:t>
      </w:r>
      <w:r w:rsidRPr="00772ED2">
        <w:t xml:space="preserve">Hegel’s criticisms roughly follow the scaffolding of Fichte’s system itself, which is divided into foundational, theoretical, and practical parts, so in what follows I will emphasize how Hegel’s </w:t>
      </w:r>
      <w:r w:rsidRPr="00772ED2">
        <w:lastRenderedPageBreak/>
        <w:t xml:space="preserve">objections to various levels of the </w:t>
      </w:r>
      <w:r w:rsidRPr="00772ED2">
        <w:rPr>
          <w:i/>
          <w:iCs/>
        </w:rPr>
        <w:t xml:space="preserve">Wissenschaftslehre </w:t>
      </w:r>
      <w:r w:rsidRPr="00772ED2">
        <w:t xml:space="preserve">are rooted fundamentally in an objection to the relation between the principles in the </w:t>
      </w:r>
      <w:r w:rsidRPr="00772ED2">
        <w:rPr>
          <w:i/>
          <w:iCs/>
        </w:rPr>
        <w:t xml:space="preserve">Grundsätze. </w:t>
      </w:r>
    </w:p>
    <w:p w14:paraId="1654DDAB" w14:textId="670F1F3C" w:rsidR="00C23D59" w:rsidRPr="00772ED2" w:rsidRDefault="00C23D59" w:rsidP="00C23D59">
      <w:pPr>
        <w:spacing w:line="480" w:lineRule="auto"/>
        <w:jc w:val="both"/>
      </w:pPr>
      <w:r w:rsidRPr="00772ED2">
        <w:tab/>
        <w:t xml:space="preserve">In my interpretation, Hegel’s primary objection to the </w:t>
      </w:r>
      <w:r w:rsidRPr="00772ED2">
        <w:rPr>
          <w:i/>
          <w:iCs/>
        </w:rPr>
        <w:t xml:space="preserve">Wissenschaftslehre </w:t>
      </w:r>
      <w:r w:rsidRPr="00772ED2">
        <w:t xml:space="preserve">concerns its foundational part, Fichte’s </w:t>
      </w:r>
      <w:r w:rsidRPr="00772ED2">
        <w:rPr>
          <w:i/>
          <w:iCs/>
        </w:rPr>
        <w:t xml:space="preserve">Grundsätze. </w:t>
      </w:r>
      <w:r w:rsidR="00D0124E">
        <w:t>One</w:t>
      </w:r>
      <w:r w:rsidRPr="00772ED2">
        <w:t xml:space="preserve"> idiosyncratic feature of the </w:t>
      </w:r>
      <w:r w:rsidRPr="00772ED2">
        <w:rPr>
          <w:i/>
          <w:iCs/>
        </w:rPr>
        <w:t xml:space="preserve">Grundsätze </w:t>
      </w:r>
      <w:r w:rsidRPr="00772ED2">
        <w:t xml:space="preserve">is that Fichte proposes not one single foundational principle, but three coordinated and relatively independent principles. In the </w:t>
      </w:r>
      <w:r w:rsidRPr="00772ED2">
        <w:rPr>
          <w:i/>
          <w:iCs/>
        </w:rPr>
        <w:t>Differenzs</w:t>
      </w:r>
      <w:r w:rsidR="00C22698">
        <w:rPr>
          <w:i/>
          <w:iCs/>
        </w:rPr>
        <w:t>c</w:t>
      </w:r>
      <w:r w:rsidRPr="00772ED2">
        <w:rPr>
          <w:i/>
          <w:iCs/>
        </w:rPr>
        <w:t xml:space="preserve">hrift </w:t>
      </w:r>
      <w:r w:rsidRPr="00772ED2">
        <w:t xml:space="preserve">Hegel argues that there is a deductive and conceptual gap between the first </w:t>
      </w:r>
      <w:r w:rsidRPr="00772ED2">
        <w:rPr>
          <w:i/>
          <w:iCs/>
        </w:rPr>
        <w:t xml:space="preserve">Grundsatz </w:t>
      </w:r>
      <w:r w:rsidRPr="00772ED2">
        <w:t xml:space="preserve">and the two that follow in its wake. Making sense of this objection requires more close attention to the architectonic structure of the </w:t>
      </w:r>
      <w:r w:rsidRPr="00772ED2">
        <w:rPr>
          <w:i/>
          <w:iCs/>
        </w:rPr>
        <w:t xml:space="preserve">Wissenschaftslehre. </w:t>
      </w:r>
      <w:r w:rsidRPr="00772ED2">
        <w:t xml:space="preserve">Fichte believes that philosophical systems are composed of two heterogenous elements: (1) </w:t>
      </w:r>
      <w:r w:rsidRPr="00772ED2">
        <w:rPr>
          <w:i/>
          <w:iCs/>
        </w:rPr>
        <w:t>Grundsätze</w:t>
      </w:r>
      <w:r w:rsidRPr="00772ED2">
        <w:t xml:space="preserve">, simple elements of the system that are self-justifying, and (2) theorems, implications or consequences of the </w:t>
      </w:r>
      <w:r w:rsidRPr="00772ED2">
        <w:rPr>
          <w:i/>
          <w:iCs/>
        </w:rPr>
        <w:t>Grundsätze</w:t>
      </w:r>
      <w:r w:rsidRPr="00772ED2">
        <w:t>.</w:t>
      </w:r>
      <w:r w:rsidRPr="00772ED2">
        <w:rPr>
          <w:rStyle w:val="FootnoteReference"/>
          <w:rFonts w:eastAsia="Aptos"/>
        </w:rPr>
        <w:footnoteReference w:id="53"/>
      </w:r>
      <w:r w:rsidRPr="00772ED2">
        <w:t xml:space="preserve"> Given such an account, how is it even coherent to maintain that there is not one but </w:t>
      </w:r>
      <w:r w:rsidRPr="00772ED2">
        <w:rPr>
          <w:i/>
          <w:iCs/>
        </w:rPr>
        <w:t xml:space="preserve">three </w:t>
      </w:r>
      <w:r w:rsidRPr="00772ED2">
        <w:t>‘first principles?’</w:t>
      </w:r>
    </w:p>
    <w:p w14:paraId="50C8AB0F" w14:textId="0D8AEA04" w:rsidR="00C23D59" w:rsidRPr="00772ED2" w:rsidRDefault="00C23D59" w:rsidP="00C23D59">
      <w:pPr>
        <w:spacing w:line="480" w:lineRule="auto"/>
        <w:ind w:firstLine="720"/>
        <w:jc w:val="both"/>
      </w:pPr>
      <w:r w:rsidRPr="00772ED2">
        <w:t>The reason that Fichte proposes three</w:t>
      </w:r>
      <w:r w:rsidRPr="00772ED2">
        <w:rPr>
          <w:i/>
          <w:iCs/>
        </w:rPr>
        <w:t xml:space="preserve"> Grundsätze </w:t>
      </w:r>
      <w:r w:rsidRPr="00772ED2">
        <w:t xml:space="preserve">rather than one is because Fichte believes that there are three elementary activities of the human mind. The first principle of his system is the highest principle because it is completely unconditioned, whereas the second and third </w:t>
      </w:r>
      <w:r w:rsidRPr="00772ED2">
        <w:rPr>
          <w:i/>
          <w:iCs/>
        </w:rPr>
        <w:t xml:space="preserve">Grundsatz </w:t>
      </w:r>
      <w:r w:rsidRPr="00772ED2">
        <w:t xml:space="preserve">are conditioned by the first in either their form or content. Fichte’s first principle is concerned with the category of </w:t>
      </w:r>
      <w:r w:rsidRPr="00772ED2">
        <w:rPr>
          <w:i/>
          <w:iCs/>
        </w:rPr>
        <w:t xml:space="preserve">identity, </w:t>
      </w:r>
      <w:r w:rsidRPr="00772ED2">
        <w:t xml:space="preserve">and he identifies the act of self-positing as the original ground of this category. The second principle in turn deals with </w:t>
      </w:r>
      <w:r w:rsidRPr="00772ED2">
        <w:rPr>
          <w:i/>
          <w:iCs/>
        </w:rPr>
        <w:t xml:space="preserve">negation, </w:t>
      </w:r>
      <w:r w:rsidRPr="00772ED2">
        <w:t xml:space="preserve">and the action grounding negation is positing in opposition. The category of the third principle is </w:t>
      </w:r>
      <w:r w:rsidRPr="00772ED2">
        <w:rPr>
          <w:i/>
          <w:iCs/>
        </w:rPr>
        <w:t xml:space="preserve">ground, </w:t>
      </w:r>
      <w:r w:rsidRPr="00772ED2">
        <w:t xml:space="preserve">and the activity exhibited by this category is limitation. One feature of Fichte’s account is that the second and third </w:t>
      </w:r>
      <w:r w:rsidRPr="00772ED2">
        <w:rPr>
          <w:i/>
          <w:iCs/>
        </w:rPr>
        <w:t xml:space="preserve">Grundsätze </w:t>
      </w:r>
      <w:r w:rsidRPr="00772ED2">
        <w:t>are not ‘derived’ in any sense from the first, although they are nonetheless conditioned by it.</w:t>
      </w:r>
      <w:r w:rsidRPr="00772ED2">
        <w:rPr>
          <w:rStyle w:val="FootnoteReference"/>
          <w:rFonts w:eastAsia="Aptos"/>
        </w:rPr>
        <w:footnoteReference w:id="54"/>
      </w:r>
      <w:r w:rsidRPr="00772ED2">
        <w:t xml:space="preserve"> Fichte’s thought is that opposition and limitation are genuinely independent activities from self-</w:t>
      </w:r>
      <w:r w:rsidRPr="00772ED2">
        <w:lastRenderedPageBreak/>
        <w:t xml:space="preserve">positing, and to produce a scientific system of the original actions of the human mind requires recognizing the independence of these actions. This is the only </w:t>
      </w:r>
      <w:r w:rsidR="00D0124E" w:rsidRPr="00772ED2">
        <w:t>reason</w:t>
      </w:r>
      <w:r w:rsidRPr="00772ED2">
        <w:t xml:space="preserve"> the second and third </w:t>
      </w:r>
      <w:r w:rsidRPr="00772ED2">
        <w:rPr>
          <w:i/>
          <w:iCs/>
        </w:rPr>
        <w:t xml:space="preserve">Grundsätze </w:t>
      </w:r>
      <w:r w:rsidRPr="00772ED2">
        <w:t xml:space="preserve">are </w:t>
      </w:r>
      <w:r w:rsidRPr="00772ED2">
        <w:rPr>
          <w:i/>
          <w:iCs/>
        </w:rPr>
        <w:t xml:space="preserve">Grundsätze </w:t>
      </w:r>
      <w:r w:rsidRPr="00772ED2">
        <w:t xml:space="preserve">and not merely theorems; they contain some simple and utterly irreducible components. Rather than proceed in a strictly linear manner, where the deduction of the category of identity flows into a deduction of opposition and limitation (or ground), Fichte instead provides independent demonstrations of each </w:t>
      </w:r>
      <w:r w:rsidRPr="00772ED2">
        <w:rPr>
          <w:i/>
          <w:iCs/>
        </w:rPr>
        <w:t xml:space="preserve">Grundsatz. </w:t>
      </w:r>
    </w:p>
    <w:p w14:paraId="3D57324B" w14:textId="77777777" w:rsidR="00C23D59" w:rsidRPr="00772ED2" w:rsidRDefault="00C23D59" w:rsidP="00C23D59">
      <w:pPr>
        <w:spacing w:line="480" w:lineRule="auto"/>
        <w:ind w:firstLine="720"/>
        <w:jc w:val="both"/>
      </w:pPr>
      <w:r w:rsidRPr="00772ED2">
        <w:t xml:space="preserve">For Hegel this signifies a problem and a fundamental defect of Fichte’s account. This moment—where we proceed from the speculative first principle to the two that follow in its wake—is the precise moment where the inadequate reflective dimension of the </w:t>
      </w:r>
      <w:r w:rsidRPr="00772ED2">
        <w:rPr>
          <w:i/>
          <w:iCs/>
        </w:rPr>
        <w:t xml:space="preserve">Wissenschaftslehre </w:t>
      </w:r>
      <w:r w:rsidRPr="00772ED2">
        <w:t xml:space="preserve">begins. Where the first </w:t>
      </w:r>
      <w:r w:rsidRPr="00772ED2">
        <w:rPr>
          <w:i/>
          <w:iCs/>
        </w:rPr>
        <w:t xml:space="preserve">Grundsatz </w:t>
      </w:r>
      <w:r w:rsidRPr="00772ED2">
        <w:t xml:space="preserve">promised a treatment of identity and difference within the single act of self-positing, we find in Fichte’s system that identity on the one hand and negation on the other are merely externally related. Fichte himself even recognizes the tension between the first and second </w:t>
      </w:r>
      <w:r w:rsidRPr="00772ED2">
        <w:rPr>
          <w:i/>
          <w:iCs/>
        </w:rPr>
        <w:t xml:space="preserve">Grundsatz, </w:t>
      </w:r>
      <w:r w:rsidRPr="00772ED2">
        <w:t xml:space="preserve">since the first posits the Absolute I as that which is identical with its positing activity, whereas the second posits the Not-I as the independent intentional content of intentional acts. The Absolute I in Fichte’s system is that which cannot be negated, but the Not-I is also a simple and independently necessary original activity of the mind, and these two structures at least appear to contradict one another. This is the motivation underlying the third </w:t>
      </w:r>
      <w:r w:rsidRPr="00772ED2">
        <w:rPr>
          <w:i/>
          <w:iCs/>
        </w:rPr>
        <w:t xml:space="preserve">Grundsatz </w:t>
      </w:r>
      <w:r w:rsidRPr="00772ED2">
        <w:t xml:space="preserve">of ground, which does not begin with a logical example like the prior principles and instead is concerned with resolving the conceptual </w:t>
      </w:r>
      <w:r w:rsidRPr="00772ED2">
        <w:rPr>
          <w:i/>
          <w:iCs/>
        </w:rPr>
        <w:t xml:space="preserve">aporia </w:t>
      </w:r>
      <w:r w:rsidRPr="00772ED2">
        <w:t xml:space="preserve">of the incommensurability of the first and second principles. </w:t>
      </w:r>
    </w:p>
    <w:p w14:paraId="55314AE6" w14:textId="15B301E9" w:rsidR="00C23D59" w:rsidRPr="00772ED2" w:rsidRDefault="00C23D59" w:rsidP="00C23D59">
      <w:pPr>
        <w:spacing w:line="480" w:lineRule="auto"/>
        <w:ind w:firstLine="720"/>
        <w:jc w:val="both"/>
      </w:pPr>
      <w:r w:rsidRPr="00772ED2">
        <w:t xml:space="preserve">Hegel’s diagnosis is that the speculative identity promised in Fichte’s account of self-positing becomes sundered, disseminated into discrete functions in his account of the </w:t>
      </w:r>
      <w:r w:rsidRPr="00772ED2">
        <w:rPr>
          <w:i/>
          <w:iCs/>
        </w:rPr>
        <w:t xml:space="preserve">Grundsätze, </w:t>
      </w:r>
      <w:r w:rsidRPr="00772ED2">
        <w:t>only to then be abstractly and externally united again at various points in Fichte’s system</w:t>
      </w:r>
      <w:r w:rsidRPr="00772ED2">
        <w:rPr>
          <w:i/>
          <w:iCs/>
        </w:rPr>
        <w:t xml:space="preserve">. </w:t>
      </w:r>
      <w:r w:rsidRPr="00772ED2">
        <w:t xml:space="preserve">Hegel </w:t>
      </w:r>
      <w:r w:rsidRPr="00772ED2">
        <w:lastRenderedPageBreak/>
        <w:t xml:space="preserve">even calls this the ‘main point’ of his reconstruction of the </w:t>
      </w:r>
      <w:r w:rsidRPr="00772ED2">
        <w:rPr>
          <w:i/>
          <w:iCs/>
        </w:rPr>
        <w:t>Wissenschaftslehre</w:t>
      </w:r>
      <w:r w:rsidRPr="00772ED2">
        <w:t>: “The main point must be to prove that self-positing and oppositing are activities absolutely opposed to one another within the system. Fichte does say this directly, in so many words.”</w:t>
      </w:r>
      <w:r w:rsidRPr="00772ED2">
        <w:rPr>
          <w:rStyle w:val="FootnoteReference"/>
          <w:rFonts w:eastAsia="Aptos"/>
        </w:rPr>
        <w:footnoteReference w:id="55"/>
      </w:r>
      <w:r w:rsidRPr="00772ED2">
        <w:t xml:space="preserve"> The first principle promised to deliver a theory about the underlying unity of the I in the subject position and the I in the predicate position, thereby providing a substantive account of the fundamental explanatory unity that it is the central aim of philosophy to seek out. But in the elaboration of the principles, it seems that the functions of identity, opposition, and ground are entirely independent from one another and only externally related </w:t>
      </w:r>
      <w:proofErr w:type="gramStart"/>
      <w:r w:rsidRPr="00772ED2">
        <w:t>in</w:t>
      </w:r>
      <w:proofErr w:type="gramEnd"/>
      <w:r w:rsidRPr="00772ED2">
        <w:t xml:space="preserve"> the psychological form of the human subject. This dimension of externality is </w:t>
      </w:r>
      <w:r w:rsidRPr="00772ED2">
        <w:rPr>
          <w:i/>
          <w:iCs/>
        </w:rPr>
        <w:t xml:space="preserve">precisely </w:t>
      </w:r>
      <w:r w:rsidRPr="00772ED2">
        <w:t>what defines reflection on Hegel’s account: “Reflection must separate what is one in the absolute Identity; it must express the synthesis and antithesis separately, in two propositions, one containing the identity, the other dichotomy.”</w:t>
      </w:r>
      <w:r w:rsidRPr="00772ED2">
        <w:rPr>
          <w:rStyle w:val="FootnoteReference"/>
          <w:rFonts w:eastAsia="Aptos"/>
        </w:rPr>
        <w:footnoteReference w:id="56"/>
      </w:r>
      <w:r w:rsidRPr="00772ED2">
        <w:t xml:space="preserve"> The central and fundamental dichotomy that is reinstated by the system of the </w:t>
      </w:r>
      <w:r w:rsidRPr="00772ED2">
        <w:rPr>
          <w:i/>
          <w:iCs/>
        </w:rPr>
        <w:t xml:space="preserve">Wissenschaftslehre </w:t>
      </w:r>
      <w:r w:rsidRPr="00772ED2">
        <w:t>is the dichotomous opposition between identity and opposition, or, in Hegel’s language, identity and difference.</w:t>
      </w:r>
      <w:r w:rsidR="00CD2A84">
        <w:rPr>
          <w:rStyle w:val="FootnoteReference"/>
        </w:rPr>
        <w:footnoteReference w:id="57"/>
      </w:r>
    </w:p>
    <w:p w14:paraId="5F1349B9" w14:textId="15D7742B" w:rsidR="00C23D59" w:rsidRPr="00772ED2" w:rsidRDefault="00C23D59" w:rsidP="00C23D59">
      <w:pPr>
        <w:spacing w:line="480" w:lineRule="auto"/>
        <w:ind w:firstLine="720"/>
        <w:jc w:val="both"/>
      </w:pPr>
      <w:r w:rsidRPr="00772ED2">
        <w:t xml:space="preserve">In my view, this fundamental problem with the </w:t>
      </w:r>
      <w:r w:rsidRPr="00772ED2">
        <w:rPr>
          <w:i/>
          <w:iCs/>
        </w:rPr>
        <w:t xml:space="preserve">Wissenschaftslehre </w:t>
      </w:r>
      <w:r w:rsidRPr="00772ED2">
        <w:t xml:space="preserve">is the true origin of </w:t>
      </w:r>
      <w:r w:rsidRPr="00772ED2">
        <w:rPr>
          <w:i/>
          <w:iCs/>
        </w:rPr>
        <w:t xml:space="preserve">all </w:t>
      </w:r>
      <w:r w:rsidRPr="00772ED2">
        <w:t xml:space="preserve">of the other objections to Fichte that Hegel makes in the </w:t>
      </w:r>
      <w:r w:rsidRPr="00772ED2">
        <w:rPr>
          <w:i/>
          <w:iCs/>
        </w:rPr>
        <w:t>Differenzs</w:t>
      </w:r>
      <w:r w:rsidR="00C22698">
        <w:rPr>
          <w:i/>
          <w:iCs/>
        </w:rPr>
        <w:t>c</w:t>
      </w:r>
      <w:r w:rsidRPr="00772ED2">
        <w:rPr>
          <w:i/>
          <w:iCs/>
        </w:rPr>
        <w:t xml:space="preserve">hrift </w:t>
      </w:r>
      <w:r w:rsidRPr="00772ED2">
        <w:t>and the basis for Hegel’s speculative identity thesis (to be discussed in more detail in the next section).</w:t>
      </w:r>
      <w:r w:rsidR="00A302D7">
        <w:rPr>
          <w:rStyle w:val="FootnoteReference"/>
        </w:rPr>
        <w:footnoteReference w:id="58"/>
      </w:r>
      <w:r w:rsidRPr="00772ED2">
        <w:t xml:space="preserve"> For example, beyond pointing out the lack of unity between the first and second principles, Hegel also targets the third principle as dissatisfying and imperfect because its proposed synthesis of the first two </w:t>
      </w:r>
      <w:r w:rsidRPr="00772ED2">
        <w:lastRenderedPageBreak/>
        <w:t>principles amounts only to a kind of external unification.</w:t>
      </w:r>
      <w:r w:rsidRPr="00772ED2">
        <w:rPr>
          <w:rStyle w:val="FootnoteReference"/>
          <w:rFonts w:eastAsia="Aptos"/>
        </w:rPr>
        <w:footnoteReference w:id="59"/>
      </w:r>
      <w:r w:rsidRPr="00772ED2">
        <w:t xml:space="preserve"> The ultimate reason why Fichte is forced to unify the functions of identity and difference in the third principle of ground is because</w:t>
      </w:r>
      <w:r w:rsidRPr="00772ED2">
        <w:rPr>
          <w:i/>
          <w:iCs/>
        </w:rPr>
        <w:t xml:space="preserve"> </w:t>
      </w:r>
      <w:r w:rsidRPr="00772ED2">
        <w:t xml:space="preserve">he held fast to an abstract idea of identity and difference as dichotomously opposed in the structure of the first two </w:t>
      </w:r>
      <w:r w:rsidRPr="00772ED2">
        <w:rPr>
          <w:i/>
          <w:iCs/>
        </w:rPr>
        <w:t>Grundsätze</w:t>
      </w:r>
      <w:r w:rsidRPr="00772ED2">
        <w:t xml:space="preserve">. And it is similarly true with all of Hegel’s objections to Fichte’s system, that they emerge as the various attempts to patch up a fundamental error of the foundational part of the system. </w:t>
      </w:r>
    </w:p>
    <w:p w14:paraId="020014D4" w14:textId="3A59453D" w:rsidR="00C23D59" w:rsidRPr="00772ED2" w:rsidRDefault="00C23D59" w:rsidP="00C23D59">
      <w:pPr>
        <w:spacing w:line="480" w:lineRule="auto"/>
        <w:ind w:firstLine="720"/>
        <w:jc w:val="both"/>
        <w:rPr>
          <w:i/>
          <w:iCs/>
        </w:rPr>
      </w:pPr>
      <w:r w:rsidRPr="00772ED2">
        <w:t xml:space="preserve">Another consequence of the foundational error of Fichte’s philosophy is the quasi-mathematical form of the </w:t>
      </w:r>
      <w:r w:rsidRPr="00772ED2">
        <w:rPr>
          <w:i/>
          <w:iCs/>
        </w:rPr>
        <w:t xml:space="preserve">Wissenschaftslehre. </w:t>
      </w:r>
      <w:r w:rsidRPr="00772ED2">
        <w:t xml:space="preserve">Hegel is quite </w:t>
      </w:r>
      <w:r w:rsidR="00250B33">
        <w:t xml:space="preserve">like Kant and </w:t>
      </w:r>
      <w:r w:rsidRPr="00772ED2">
        <w:t>unlike Fichte and Schelling in his general distaste for first principles and the fetishization of a formal and mathematical way of presenting philosophical systems.</w:t>
      </w:r>
      <w:r w:rsidRPr="00772ED2">
        <w:rPr>
          <w:rStyle w:val="FootnoteReference"/>
          <w:rFonts w:eastAsia="Aptos"/>
        </w:rPr>
        <w:footnoteReference w:id="60"/>
      </w:r>
      <w:r w:rsidRPr="00772ED2">
        <w:t xml:space="preserve"> For Hegel, this entire mode of presentation is by its very nature reflective: </w:t>
      </w:r>
    </w:p>
    <w:p w14:paraId="582BBB97" w14:textId="77777777" w:rsidR="00C23D59" w:rsidRPr="00772ED2" w:rsidRDefault="00C23D59" w:rsidP="00C23D59">
      <w:pPr>
        <w:ind w:left="720" w:right="720"/>
        <w:jc w:val="both"/>
        <w:rPr>
          <w:i/>
          <w:iCs/>
        </w:rPr>
      </w:pPr>
      <w:r w:rsidRPr="00772ED2">
        <w:t xml:space="preserve">One might demand that the system as an organization of propositions should present the Absolute which lies </w:t>
      </w:r>
      <w:proofErr w:type="gramStart"/>
      <w:r w:rsidRPr="00772ED2">
        <w:t>at</w:t>
      </w:r>
      <w:proofErr w:type="gramEnd"/>
      <w:r w:rsidRPr="00772ED2">
        <w:t xml:space="preserve"> the basis of reflection in the fashion of reflection, that is, as the highest or absolutely fundamental proposition. But such a demand at once entails its own nullity. For a proposition, as something posited by reflection, is something limited and conditioned on its own account. It requires another proposition </w:t>
      </w:r>
      <w:proofErr w:type="gramStart"/>
      <w:r w:rsidRPr="00772ED2">
        <w:t>as</w:t>
      </w:r>
      <w:proofErr w:type="gramEnd"/>
      <w:r w:rsidRPr="00772ED2">
        <w:t xml:space="preserve"> its foundation and so on </w:t>
      </w:r>
      <w:proofErr w:type="gramStart"/>
      <w:r w:rsidRPr="00772ED2">
        <w:rPr>
          <w:i/>
          <w:iCs/>
        </w:rPr>
        <w:t>ad</w:t>
      </w:r>
      <w:proofErr w:type="gramEnd"/>
      <w:r w:rsidRPr="00772ED2">
        <w:rPr>
          <w:i/>
          <w:iCs/>
        </w:rPr>
        <w:t xml:space="preserve"> infinitum.</w:t>
      </w:r>
      <w:r w:rsidRPr="00772ED2">
        <w:rPr>
          <w:rStyle w:val="FootnoteReference"/>
          <w:rFonts w:eastAsia="Aptos"/>
        </w:rPr>
        <w:footnoteReference w:id="61"/>
      </w:r>
    </w:p>
    <w:p w14:paraId="20C88100" w14:textId="77777777" w:rsidR="00C23D59" w:rsidRPr="00772ED2" w:rsidRDefault="00C23D59" w:rsidP="00C23D59">
      <w:pPr>
        <w:ind w:left="720" w:right="720"/>
        <w:jc w:val="both"/>
        <w:rPr>
          <w:i/>
          <w:iCs/>
        </w:rPr>
      </w:pPr>
    </w:p>
    <w:p w14:paraId="4709B21E" w14:textId="77777777" w:rsidR="00C23D59" w:rsidRPr="00772ED2" w:rsidRDefault="00C23D59" w:rsidP="00C23D59">
      <w:pPr>
        <w:spacing w:line="480" w:lineRule="auto"/>
        <w:jc w:val="both"/>
      </w:pPr>
      <w:r w:rsidRPr="00772ED2">
        <w:t xml:space="preserve">Another way of putting Hegel’s point is that the basic structure of the </w:t>
      </w:r>
      <w:r w:rsidRPr="00772ED2">
        <w:rPr>
          <w:i/>
          <w:iCs/>
        </w:rPr>
        <w:t xml:space="preserve">Wissenschaftslehre </w:t>
      </w:r>
      <w:r w:rsidRPr="00772ED2">
        <w:t xml:space="preserve">retains and utilizes a dichotomous distinction between </w:t>
      </w:r>
      <w:r w:rsidRPr="00772ED2">
        <w:rPr>
          <w:i/>
          <w:iCs/>
        </w:rPr>
        <w:t xml:space="preserve">Grundsätze </w:t>
      </w:r>
      <w:r w:rsidRPr="00772ED2">
        <w:t xml:space="preserve">and theorems. There is a basic contradiction between the foundational principles of the system of philosophy and the gradual unfolding of its consequences, akin to the attempt to ‘construct’ the Absolute by the continuous addition of the finite. And this way of putting things allows us to see the continuity between this apparently more general objection and the more technical treatment of Fichte’s </w:t>
      </w:r>
      <w:r w:rsidRPr="00772ED2">
        <w:rPr>
          <w:i/>
          <w:iCs/>
        </w:rPr>
        <w:t xml:space="preserve">Grundsätze, </w:t>
      </w:r>
      <w:r w:rsidRPr="00772ED2">
        <w:lastRenderedPageBreak/>
        <w:t xml:space="preserve">namely, that Fichte was tempted ultimately by a mathematical form of presentation </w:t>
      </w:r>
      <w:r w:rsidRPr="00772ED2">
        <w:rPr>
          <w:i/>
          <w:iCs/>
        </w:rPr>
        <w:t xml:space="preserve">because </w:t>
      </w:r>
      <w:r w:rsidRPr="00772ED2">
        <w:t xml:space="preserve">of his abstract understanding of identity and difference. </w:t>
      </w:r>
    </w:p>
    <w:p w14:paraId="5A030FEC" w14:textId="25887802" w:rsidR="00C23D59" w:rsidRPr="00772ED2" w:rsidRDefault="00C23D59" w:rsidP="00C23D59">
      <w:pPr>
        <w:spacing w:line="480" w:lineRule="auto"/>
        <w:jc w:val="both"/>
      </w:pPr>
      <w:r w:rsidRPr="00772ED2">
        <w:tab/>
        <w:t xml:space="preserve">The same problem and attempted solution are recapitulated in the theoretical and practical parts of the </w:t>
      </w:r>
      <w:r w:rsidRPr="00772ED2">
        <w:rPr>
          <w:i/>
          <w:iCs/>
        </w:rPr>
        <w:t xml:space="preserve">Wissenschaftslehre. </w:t>
      </w:r>
      <w:r w:rsidRPr="00772ED2">
        <w:t>The central aporia of the theoretical section of the work</w:t>
      </w:r>
      <w:r w:rsidRPr="00772ED2">
        <w:rPr>
          <w:i/>
          <w:iCs/>
        </w:rPr>
        <w:t xml:space="preserve"> </w:t>
      </w:r>
      <w:r w:rsidRPr="00772ED2">
        <w:t xml:space="preserve">is how the intentional attitude of cognition is possible given the fundamental structure of the </w:t>
      </w:r>
      <w:r w:rsidRPr="00772ED2">
        <w:rPr>
          <w:i/>
          <w:iCs/>
        </w:rPr>
        <w:t>Grundsätze.</w:t>
      </w:r>
      <w:r w:rsidRPr="00772ED2">
        <w:t xml:space="preserve"> Fichte describes cognition as an intentional attitude that aims to harmonize the I and the Not-I through the progressive limitation of the I by the Not-I.</w:t>
      </w:r>
      <w:r w:rsidRPr="00772ED2">
        <w:rPr>
          <w:rStyle w:val="FootnoteReference"/>
          <w:rFonts w:eastAsia="Aptos"/>
        </w:rPr>
        <w:footnoteReference w:id="62"/>
      </w:r>
      <w:r w:rsidRPr="00772ED2">
        <w:t xml:space="preserve"> In other words, when I take on a theoretical attitude towards the world, I am most interested in coming to know the world as it is rather than projecting my own purposes onto it. The most straightforward way to make sense of this attitude is to provide some account </w:t>
      </w:r>
      <w:r w:rsidR="00250B33">
        <w:t>of</w:t>
      </w:r>
      <w:r w:rsidRPr="00772ED2">
        <w:t xml:space="preserve"> the receptive element of human cognition. Kant, for example, has no real problem here, because his account of sensibility and distinction between appearances and things in themselves allows him to develop a rich and robust picture of the receptive aspect of cognition. But Fichte has significantly limited his own resources for doing just that, since there is nothing about the I in his view that is sufficiently caused by any external source. There are no things in themselves on Fichte’s account, and he verges on even making the very idea of passive reception in the I incoherent because the I is itself an essentially unlimitable activity. How is the passively receptive attitude of cognition even possible on Fichte’s view if the I just </w:t>
      </w:r>
      <w:proofErr w:type="gramStart"/>
      <w:r w:rsidRPr="00772ED2">
        <w:rPr>
          <w:i/>
          <w:iCs/>
        </w:rPr>
        <w:t>is</w:t>
      </w:r>
      <w:proofErr w:type="gramEnd"/>
      <w:r w:rsidRPr="00772ED2">
        <w:rPr>
          <w:i/>
          <w:iCs/>
        </w:rPr>
        <w:t xml:space="preserve"> </w:t>
      </w:r>
      <w:r w:rsidRPr="00772ED2">
        <w:t xml:space="preserve">what it takes itself to be? </w:t>
      </w:r>
    </w:p>
    <w:p w14:paraId="4286C792" w14:textId="3F0A2902" w:rsidR="00C23D59" w:rsidRPr="00772ED2" w:rsidRDefault="00C23D59" w:rsidP="00C23D59">
      <w:pPr>
        <w:spacing w:line="480" w:lineRule="auto"/>
        <w:jc w:val="both"/>
      </w:pPr>
      <w:r w:rsidRPr="00772ED2">
        <w:tab/>
        <w:t xml:space="preserve">Fichte’s answer to this question involves the invocation of one of the most obscure ideas in the </w:t>
      </w:r>
      <w:r w:rsidRPr="00772ED2">
        <w:rPr>
          <w:i/>
          <w:iCs/>
        </w:rPr>
        <w:t xml:space="preserve">Wissenschaftslehre, </w:t>
      </w:r>
      <w:r w:rsidRPr="00772ED2">
        <w:t xml:space="preserve">the </w:t>
      </w:r>
      <w:r w:rsidRPr="00772ED2">
        <w:rPr>
          <w:i/>
          <w:iCs/>
        </w:rPr>
        <w:t xml:space="preserve">Anstoß. Anstoß </w:t>
      </w:r>
      <w:r w:rsidRPr="00772ED2">
        <w:t xml:space="preserve">is a word usually translated as ‘check,’ but which equally means something like ‘push’ or ‘impulse.’ </w:t>
      </w:r>
      <w:r w:rsidRPr="00772ED2">
        <w:rPr>
          <w:i/>
          <w:iCs/>
        </w:rPr>
        <w:t xml:space="preserve">Anstoß </w:t>
      </w:r>
      <w:r w:rsidRPr="00772ED2">
        <w:t xml:space="preserve">much like </w:t>
      </w:r>
      <w:r w:rsidRPr="00772ED2">
        <w:rPr>
          <w:i/>
          <w:iCs/>
        </w:rPr>
        <w:t xml:space="preserve">Aufhebung </w:t>
      </w:r>
      <w:r w:rsidRPr="00772ED2">
        <w:t xml:space="preserve">carries a </w:t>
      </w:r>
      <w:r w:rsidRPr="00772ED2">
        <w:lastRenderedPageBreak/>
        <w:t xml:space="preserve">speculative dual meaning as both impediment </w:t>
      </w:r>
      <w:r w:rsidRPr="00772ED2">
        <w:rPr>
          <w:i/>
          <w:iCs/>
        </w:rPr>
        <w:t xml:space="preserve">and </w:t>
      </w:r>
      <w:r w:rsidRPr="00772ED2">
        <w:t>catalyst for activity.</w:t>
      </w:r>
      <w:r w:rsidRPr="00772ED2">
        <w:rPr>
          <w:rStyle w:val="FootnoteReference"/>
          <w:rFonts w:eastAsia="Aptos"/>
        </w:rPr>
        <w:footnoteReference w:id="63"/>
      </w:r>
      <w:r w:rsidRPr="00772ED2">
        <w:t xml:space="preserve"> Fichte’s answer to the aporia of theoretical philosophy is to say that the I in its theoretical attitudes must posit itself as determined by the Not-I, but that the reality of the Not-I stems only from an alienation of the I’s own activity and transference to an apparently external object.</w:t>
      </w:r>
      <w:r w:rsidRPr="00772ED2">
        <w:rPr>
          <w:rStyle w:val="FootnoteReference"/>
          <w:rFonts w:eastAsia="Aptos"/>
        </w:rPr>
        <w:footnoteReference w:id="64"/>
      </w:r>
      <w:r w:rsidRPr="00772ED2">
        <w:t xml:space="preserve"> In other words, when the I posits itself in the mode of cognition, it posits itself not positing itself, or, it is forced to misunderstand and externalize its own activity onto an outside source.</w:t>
      </w:r>
      <w:r w:rsidRPr="00772ED2">
        <w:rPr>
          <w:rStyle w:val="FootnoteReference"/>
          <w:rFonts w:eastAsia="Aptos"/>
        </w:rPr>
        <w:footnoteReference w:id="65"/>
      </w:r>
      <w:r w:rsidRPr="00772ED2">
        <w:t xml:space="preserve"> Fichte’s </w:t>
      </w:r>
      <w:r w:rsidRPr="00772ED2">
        <w:rPr>
          <w:i/>
          <w:iCs/>
        </w:rPr>
        <w:t xml:space="preserve">Anstoß </w:t>
      </w:r>
      <w:r w:rsidRPr="00772ED2">
        <w:t xml:space="preserve">is meant to refer to the original determination of the I which is alienated and transferred to the Not-I in our receptive activities. The </w:t>
      </w:r>
      <w:r w:rsidRPr="00772ED2">
        <w:rPr>
          <w:i/>
          <w:iCs/>
        </w:rPr>
        <w:t xml:space="preserve">Anstoß </w:t>
      </w:r>
      <w:r w:rsidRPr="00772ED2">
        <w:t xml:space="preserve">is a check or a limitation insofar as it provides the unsurpassable limit to the I’s self-positing, but it is also a ‘push’ or an impetus to cognition, since it is the original determination of the I that itself makes objective knowledge possible. The </w:t>
      </w:r>
      <w:r w:rsidRPr="00772ED2">
        <w:rPr>
          <w:i/>
          <w:iCs/>
        </w:rPr>
        <w:t xml:space="preserve">Anstoß </w:t>
      </w:r>
      <w:r w:rsidRPr="00772ED2">
        <w:t>is a kind of intimate extimacy—a fundamental feature of the I itself that appears to the I in the guise of an objectified and alien entity.</w:t>
      </w:r>
    </w:p>
    <w:p w14:paraId="47A30906" w14:textId="77777777" w:rsidR="00C23D59" w:rsidRPr="00772ED2" w:rsidRDefault="00C23D59" w:rsidP="00C23D59">
      <w:pPr>
        <w:spacing w:line="480" w:lineRule="auto"/>
        <w:jc w:val="both"/>
      </w:pPr>
      <w:r w:rsidRPr="00772ED2">
        <w:tab/>
        <w:t xml:space="preserve">Fichte’s account of the </w:t>
      </w:r>
      <w:r w:rsidRPr="00772ED2">
        <w:rPr>
          <w:i/>
          <w:iCs/>
        </w:rPr>
        <w:t xml:space="preserve">Anstoß </w:t>
      </w:r>
      <w:r w:rsidRPr="00772ED2">
        <w:t xml:space="preserve">is often treated with equal parts fascination and suspicion. On the one hand, it seems that with the </w:t>
      </w:r>
      <w:r w:rsidRPr="00772ED2">
        <w:rPr>
          <w:i/>
          <w:iCs/>
        </w:rPr>
        <w:t xml:space="preserve">Anstoß </w:t>
      </w:r>
      <w:r w:rsidRPr="00772ED2">
        <w:t xml:space="preserve">Fichte develops one of his signature speculative concepts and tries to explain how the original determination of the I can nevertheless be coherently thought as a product of its own activity. On the other hand, it is equally possible to regard the concept of the </w:t>
      </w:r>
      <w:r w:rsidRPr="00772ED2">
        <w:rPr>
          <w:i/>
          <w:iCs/>
        </w:rPr>
        <w:t xml:space="preserve">Anstoß </w:t>
      </w:r>
      <w:r w:rsidRPr="00772ED2">
        <w:t xml:space="preserve">with the suspicion that Fichte is trying desperately to fit a square peg in a round hole. Hegel takes the latter perspective. While the whole motivation for Fichte’s account of the </w:t>
      </w:r>
      <w:r w:rsidRPr="00772ED2">
        <w:rPr>
          <w:i/>
          <w:iCs/>
        </w:rPr>
        <w:t xml:space="preserve">Anstoß </w:t>
      </w:r>
      <w:r w:rsidRPr="00772ED2">
        <w:t xml:space="preserve">was to replace the idea of the thing in itself, Hegel sees the </w:t>
      </w:r>
      <w:r w:rsidRPr="00772ED2">
        <w:rPr>
          <w:i/>
          <w:iCs/>
        </w:rPr>
        <w:t xml:space="preserve">Anstoß </w:t>
      </w:r>
      <w:r w:rsidRPr="00772ED2">
        <w:t xml:space="preserve">merely as the transformation of the thing in itself into an inner structure of the I. The </w:t>
      </w:r>
      <w:r w:rsidRPr="00772ED2">
        <w:rPr>
          <w:i/>
          <w:iCs/>
        </w:rPr>
        <w:t xml:space="preserve">Anstoß </w:t>
      </w:r>
      <w:r w:rsidRPr="00772ED2">
        <w:t xml:space="preserve">accordingly retains all of the conceptual aporias of the thing in itself, and the same reason why Fichte rejected things </w:t>
      </w:r>
      <w:r w:rsidRPr="00772ED2">
        <w:lastRenderedPageBreak/>
        <w:t xml:space="preserve">in themselves should have also forced him to reject the </w:t>
      </w:r>
      <w:r w:rsidRPr="00772ED2">
        <w:rPr>
          <w:i/>
          <w:iCs/>
        </w:rPr>
        <w:t>Anstoß.</w:t>
      </w:r>
      <w:r w:rsidRPr="00772ED2">
        <w:rPr>
          <w:rStyle w:val="FootnoteReference"/>
          <w:rFonts w:eastAsia="Aptos"/>
        </w:rPr>
        <w:footnoteReference w:id="66"/>
      </w:r>
      <w:r w:rsidRPr="00772ED2">
        <w:t xml:space="preserve"> It is an essential part of Fichte’s account of the </w:t>
      </w:r>
      <w:r w:rsidRPr="00772ED2">
        <w:rPr>
          <w:i/>
          <w:iCs/>
        </w:rPr>
        <w:t>Anstoß</w:t>
      </w:r>
      <w:r w:rsidRPr="00772ED2">
        <w:t xml:space="preserve"> that he maintains that it is the final explanatory layer for the objectivity of the world for his system of idealism.</w:t>
      </w:r>
      <w:r w:rsidRPr="00772ED2">
        <w:rPr>
          <w:rStyle w:val="FootnoteReference"/>
          <w:rFonts w:eastAsia="Aptos"/>
        </w:rPr>
        <w:footnoteReference w:id="67"/>
      </w:r>
      <w:r w:rsidRPr="00772ED2">
        <w:t xml:space="preserve"> However, Hegel views this as in stark tension with Fichte’s previously-elaborated theory of self-positing. While the account of self-positing made it such that the world is eminently understandable, since it is exactly what the I takes it to be in its positing activities, now with the </w:t>
      </w:r>
      <w:r w:rsidRPr="00772ED2">
        <w:rPr>
          <w:i/>
          <w:iCs/>
        </w:rPr>
        <w:t>Anstoß</w:t>
      </w:r>
      <w:r w:rsidRPr="00772ED2">
        <w:t xml:space="preserve"> “…intelligence finds itself closed in by incomprehensible limits…”</w:t>
      </w:r>
      <w:r w:rsidRPr="00772ED2">
        <w:rPr>
          <w:rStyle w:val="FootnoteReference"/>
          <w:rFonts w:eastAsia="Aptos"/>
        </w:rPr>
        <w:footnoteReference w:id="68"/>
      </w:r>
      <w:r w:rsidRPr="00772ED2">
        <w:t xml:space="preserve"> just as Hegel previously diagnosed in the case of Kant’s phenomenality requirement and transcendental idealism.</w:t>
      </w:r>
    </w:p>
    <w:p w14:paraId="549E14FA" w14:textId="177A2548" w:rsidR="00C23D59" w:rsidRPr="00772ED2" w:rsidRDefault="00C23D59" w:rsidP="00C23D59">
      <w:pPr>
        <w:spacing w:line="480" w:lineRule="auto"/>
        <w:jc w:val="both"/>
      </w:pPr>
      <w:r w:rsidRPr="00772ED2">
        <w:tab/>
        <w:t>Fichte himself oftentimes tries to resolve these problems in his foundational and theoretical philosophy by appealing to his practical philosophy. If cognition described the synchronization of the I and the Not-I through the progressive limitation of the I by the Not-I, practical activity instead endeavors to a harmonization of the I and the Not-I through the progressive limitation of the Not-I by the I. If cognition involve</w:t>
      </w:r>
      <w:r w:rsidR="00252BE3">
        <w:t>s</w:t>
      </w:r>
      <w:r w:rsidRPr="00772ED2">
        <w:t xml:space="preserve"> the activity of the I </w:t>
      </w:r>
      <w:proofErr w:type="gramStart"/>
      <w:r w:rsidRPr="00772ED2">
        <w:t>positing</w:t>
      </w:r>
      <w:proofErr w:type="gramEnd"/>
      <w:r w:rsidRPr="00772ED2">
        <w:t xml:space="preserve"> itself not positing, then practical activity in contrast allows the I to posit its self-positing, or to come to understand itself in full explicitness, and this is at least one resonance of the primacy of the practical in Fichte’s philosophy. In cognition, the I </w:t>
      </w:r>
      <w:proofErr w:type="gramStart"/>
      <w:r w:rsidRPr="00772ED2">
        <w:t>is</w:t>
      </w:r>
      <w:proofErr w:type="gramEnd"/>
      <w:r w:rsidRPr="00772ED2">
        <w:t xml:space="preserve"> intrinsically alienated from itself, but in action </w:t>
      </w:r>
      <w:proofErr w:type="gramStart"/>
      <w:r w:rsidRPr="00772ED2">
        <w:t>the</w:t>
      </w:r>
      <w:proofErr w:type="gramEnd"/>
      <w:r w:rsidRPr="00772ED2">
        <w:t xml:space="preserve"> I can recognize the truth, that it is nothing but its own activity. Fichte’s practical philosophy is characterized by the infinite striving to realize moral purposes in a world that continually (and essentially) resists this activity. For Hegel, this is a clear case of the ‘bad infinite,’ or what was previously explained as the perspective of the infinite from the perspective of the finite. For in Fichte’s account, striving is a transcendental condition of self-consciousness, and although his system demands the gradual </w:t>
      </w:r>
      <w:r w:rsidRPr="00772ED2">
        <w:lastRenderedPageBreak/>
        <w:t xml:space="preserve">harmonization of the Not-I with the I, this task can never actually be completed. Hegel summarizes his objection by stating that “Hence, I = I is transformed into the principle ‘I </w:t>
      </w:r>
      <w:r w:rsidRPr="00772ED2">
        <w:rPr>
          <w:i/>
          <w:iCs/>
        </w:rPr>
        <w:t xml:space="preserve">ought </w:t>
      </w:r>
      <w:r w:rsidRPr="00772ED2">
        <w:t>to be equal to the I.’”</w:t>
      </w:r>
      <w:r w:rsidRPr="00772ED2">
        <w:rPr>
          <w:rStyle w:val="FootnoteReference"/>
          <w:rFonts w:eastAsia="Aptos"/>
        </w:rPr>
        <w:footnoteReference w:id="69"/>
      </w:r>
      <w:r w:rsidRPr="00772ED2">
        <w:t xml:space="preserve"> This is another instance where the speculative identity of self-positing becomes externalized, made into an infinitely protracted and nevertheless impossible task, and thereby rendered reflective. </w:t>
      </w:r>
    </w:p>
    <w:p w14:paraId="4F97A6F1" w14:textId="0BBB62CD" w:rsidR="00C23D59" w:rsidRPr="00772ED2" w:rsidRDefault="00C23D59" w:rsidP="00C23D59">
      <w:pPr>
        <w:spacing w:line="480" w:lineRule="auto"/>
        <w:jc w:val="both"/>
      </w:pPr>
      <w:r w:rsidRPr="00772ED2">
        <w:tab/>
        <w:t>This all culminates in Hegel’s accusation of Fichte’s subjective idealism. He summarizes this claim by saying that in Fichte’s system “The principle, the Subject-Object, turns out to be a subjective Subject-Object.”</w:t>
      </w:r>
      <w:r w:rsidRPr="00772ED2">
        <w:rPr>
          <w:rStyle w:val="FootnoteReference"/>
          <w:rFonts w:eastAsia="Aptos"/>
        </w:rPr>
        <w:footnoteReference w:id="70"/>
      </w:r>
      <w:r w:rsidRPr="00772ED2">
        <w:t xml:space="preserve"> We are now in a position to see what exactly Hegel means: the speculative identity claim in self-positing becomes externalized at various points within Fichte’s system and is rendered reflective. Fichte’s subjective idealism is particularly stark once one steps outside of the foundational philosophy, in its theoretical and practical components, since in these cases the attempt to make sense of self-positing takes place from the perspective of the finite human subject. Where Fichte had overcome the dichotomous distinctions between subject and object in his account of self-positing, he is forced to surreptitiously reinstate them in his system to explicate his first principles. While Hegel’s accusation of subjective idealism toward Fichte is eminently familiar, it is also easily misunderstood. One would expect, for example, that if Hegel is really opposed to ‘subjectivism,’ then he would target the first </w:t>
      </w:r>
      <w:r w:rsidRPr="00772ED2">
        <w:rPr>
          <w:i/>
          <w:iCs/>
        </w:rPr>
        <w:t xml:space="preserve">Grundsatz </w:t>
      </w:r>
      <w:r w:rsidRPr="00772ED2">
        <w:t xml:space="preserve">and Fichte’s account of self-positing like most of Fichte’s critics. But in the </w:t>
      </w:r>
      <w:r w:rsidRPr="00772ED2">
        <w:rPr>
          <w:i/>
          <w:iCs/>
        </w:rPr>
        <w:t>Differenzs</w:t>
      </w:r>
      <w:r w:rsidR="008F7367">
        <w:rPr>
          <w:i/>
          <w:iCs/>
        </w:rPr>
        <w:t>c</w:t>
      </w:r>
      <w:r w:rsidRPr="00772ED2">
        <w:rPr>
          <w:i/>
          <w:iCs/>
        </w:rPr>
        <w:t xml:space="preserve">hrift </w:t>
      </w:r>
      <w:r w:rsidRPr="00772ED2">
        <w:t xml:space="preserve">he does just the opposite, and his accusation of subjective idealism is directed primarily at points in Fichte’s system where he betrays the insight of his first </w:t>
      </w:r>
      <w:r w:rsidRPr="00772ED2">
        <w:rPr>
          <w:i/>
          <w:iCs/>
        </w:rPr>
        <w:t xml:space="preserve">Grundsatz. </w:t>
      </w:r>
      <w:r w:rsidRPr="00772ED2">
        <w:t>None of Hegel’s objections target what is at face value the most striking, particular, and audacious aspect of Fichte’s philosophy in his theory of self-</w:t>
      </w:r>
      <w:r w:rsidRPr="00772ED2">
        <w:lastRenderedPageBreak/>
        <w:t xml:space="preserve">positing, but all of them instead concern only the points where Fichte spoils this insight by externalizing it. </w:t>
      </w:r>
    </w:p>
    <w:p w14:paraId="07EC4984" w14:textId="77777777" w:rsidR="00C23D59" w:rsidRPr="00772ED2" w:rsidRDefault="00C23D59" w:rsidP="00C23D59">
      <w:pPr>
        <w:spacing w:line="480" w:lineRule="auto"/>
        <w:jc w:val="both"/>
      </w:pPr>
    </w:p>
    <w:p w14:paraId="0ECCF7E4" w14:textId="69857FF1" w:rsidR="00C23D59" w:rsidRPr="00772ED2" w:rsidRDefault="00C23D59" w:rsidP="00C23D59">
      <w:pPr>
        <w:pStyle w:val="Heading2"/>
      </w:pPr>
      <w:bookmarkStart w:id="5" w:name="_Toc201423803"/>
      <w:r w:rsidRPr="00772ED2">
        <w:t xml:space="preserve">§2.5 </w:t>
      </w:r>
      <w:r w:rsidR="00733CE4">
        <w:t xml:space="preserve">Conclusion: </w:t>
      </w:r>
      <w:r w:rsidRPr="00772ED2">
        <w:t>Hegel’s Speculative Identity Thesis</w:t>
      </w:r>
      <w:bookmarkEnd w:id="5"/>
    </w:p>
    <w:p w14:paraId="684E9C60" w14:textId="2EC9FA1C" w:rsidR="00C23D59" w:rsidRPr="00772ED2" w:rsidRDefault="00C23D59" w:rsidP="00C23D59">
      <w:pPr>
        <w:spacing w:line="480" w:lineRule="auto"/>
        <w:jc w:val="both"/>
      </w:pPr>
      <w:r w:rsidRPr="00772ED2">
        <w:t xml:space="preserve">The main point of the </w:t>
      </w:r>
      <w:r w:rsidRPr="00772ED2">
        <w:rPr>
          <w:i/>
          <w:iCs/>
        </w:rPr>
        <w:t>Differenzs</w:t>
      </w:r>
      <w:r w:rsidR="008F7367">
        <w:rPr>
          <w:i/>
          <w:iCs/>
        </w:rPr>
        <w:t>c</w:t>
      </w:r>
      <w:r w:rsidRPr="00772ED2">
        <w:rPr>
          <w:i/>
          <w:iCs/>
        </w:rPr>
        <w:t xml:space="preserve">hrift </w:t>
      </w:r>
      <w:r w:rsidRPr="00772ED2">
        <w:t>is, obviously, to establish an account of the difference between Fichte and Schelling’s systems of philosophy. Hegel summarizes his interpretation by saying that “The basic character of Fichte’s principle, as we have shown, is that the Subject-Object steps out of its identity and is unable to reestablish itself.”</w:t>
      </w:r>
      <w:r w:rsidRPr="00772ED2">
        <w:rPr>
          <w:rStyle w:val="FootnoteReference"/>
          <w:rFonts w:eastAsia="Aptos"/>
        </w:rPr>
        <w:footnoteReference w:id="71"/>
      </w:r>
      <w:r w:rsidRPr="00772ED2">
        <w:t xml:space="preserve"> That Fichte ‘subjectivizes’ the Subject-Object, that he proposes a subjective idealism or subjective Subject-Object, is the result of this fundamental error. Unable to satisfy the conflicting demands of unity and diversity, subject and object, Fichte capitulates to capturing only one side of the dualism and denigrating the other. In contrast, “The principle of identity is the absolute principle of Schelling’s system as a </w:t>
      </w:r>
      <w:r w:rsidRPr="00772ED2">
        <w:rPr>
          <w:i/>
          <w:iCs/>
        </w:rPr>
        <w:t>whole.</w:t>
      </w:r>
      <w:r w:rsidRPr="00772ED2">
        <w:t>”</w:t>
      </w:r>
      <w:r w:rsidRPr="00772ED2">
        <w:rPr>
          <w:rStyle w:val="FootnoteReference"/>
          <w:rFonts w:eastAsia="Aptos"/>
        </w:rPr>
        <w:footnoteReference w:id="72"/>
      </w:r>
      <w:r w:rsidRPr="00772ED2">
        <w:t xml:space="preserve"> Unlike Fichte’s philosophy, which was sundered into its speculative principle and reflective system that followed, in Schelling’s case “Philosophy and system coincide.”</w:t>
      </w:r>
      <w:r w:rsidRPr="00772ED2">
        <w:rPr>
          <w:rStyle w:val="FootnoteReference"/>
          <w:rFonts w:eastAsia="Aptos"/>
        </w:rPr>
        <w:footnoteReference w:id="73"/>
      </w:r>
      <w:r w:rsidRPr="00772ED2">
        <w:t xml:space="preserve"> </w:t>
      </w:r>
    </w:p>
    <w:p w14:paraId="2AD1F1B5" w14:textId="77777777" w:rsidR="00C23D59" w:rsidRPr="00772ED2" w:rsidRDefault="00C23D59" w:rsidP="00C23D59">
      <w:pPr>
        <w:spacing w:line="480" w:lineRule="auto"/>
        <w:ind w:firstLine="720"/>
        <w:jc w:val="both"/>
      </w:pPr>
      <w:r w:rsidRPr="00772ED2">
        <w:t>It is in describing the advantage of Schelling’s philosophy over Fichte’s that Hegel arrives at what is often referred to as Hegel’s ‘speculative identity thesis’: “the Absolute itself is the identity of identity and non-identity; being opposed and being one are both together in it.”</w:t>
      </w:r>
      <w:r w:rsidRPr="00772ED2">
        <w:rPr>
          <w:rStyle w:val="FootnoteReference"/>
          <w:rFonts w:eastAsia="Aptos"/>
        </w:rPr>
        <w:footnoteReference w:id="74"/>
      </w:r>
      <w:r w:rsidRPr="00772ED2">
        <w:t xml:space="preserve"> This statement is remarkable primarily because it is perhaps the most succinct statement of Hegel’s dialectical philosophy and one of his most concrete pronouncements about the ‘Absolute,’ or ultimate metaphysical reality. Hegel’s point is that any ultimately satisfying philosophical account of the world is required to provide a satisfying picture of </w:t>
      </w:r>
      <w:r w:rsidRPr="00772ED2">
        <w:rPr>
          <w:i/>
          <w:iCs/>
        </w:rPr>
        <w:t xml:space="preserve">both </w:t>
      </w:r>
      <w:r w:rsidRPr="00772ED2">
        <w:t xml:space="preserve">(1) the fundamental underlying unity </w:t>
      </w:r>
      <w:r w:rsidRPr="00772ED2">
        <w:lastRenderedPageBreak/>
        <w:t xml:space="preserve">of the world and (2) the richness, diversity, opposition, and even contradiction necessary to that very unity. Inadequate philosophical formulations are typically ones that are ‘one-sided,’ which is to say that they progress in the development of a satisfactory account of </w:t>
      </w:r>
      <w:r w:rsidRPr="00772ED2">
        <w:rPr>
          <w:i/>
          <w:iCs/>
        </w:rPr>
        <w:t xml:space="preserve">one </w:t>
      </w:r>
      <w:r w:rsidRPr="00772ED2">
        <w:t xml:space="preserve">of the requirements of a genuinely satisfying metaphysical picture of the world, but in doing so are forced to abandon the demands of the other. Fichte is for Hegel is the principal example of this tendency, and although he begins his philosophical system with the demand to think the primary unity underlying all difference, he fails at tarrying with this identity and gradually abandons its objective requirements, retreating into subjective idealism. </w:t>
      </w:r>
    </w:p>
    <w:p w14:paraId="533276A2" w14:textId="11CAC496" w:rsidR="00C23D59" w:rsidRPr="00772ED2" w:rsidRDefault="00C23D59" w:rsidP="00C23D59">
      <w:pPr>
        <w:spacing w:line="480" w:lineRule="auto"/>
        <w:ind w:firstLine="720"/>
        <w:jc w:val="both"/>
      </w:pPr>
      <w:r w:rsidRPr="00772ED2">
        <w:t xml:space="preserve">Schelling was quite satisfied with Hegel’s formulation of the speculative identity thesis. </w:t>
      </w:r>
      <w:r w:rsidR="00E82C2D">
        <w:t xml:space="preserve">Already in his initial reaction to the </w:t>
      </w:r>
      <w:r w:rsidR="00E82C2D">
        <w:rPr>
          <w:i/>
          <w:iCs/>
        </w:rPr>
        <w:t xml:space="preserve">Wissenschaftslehre </w:t>
      </w:r>
      <w:r w:rsidR="00E82C2D">
        <w:t>in “Of the I as Principle of Philosophy.”</w:t>
      </w:r>
      <w:r w:rsidR="00E82C2D">
        <w:rPr>
          <w:i/>
          <w:iCs/>
        </w:rPr>
        <w:t xml:space="preserve"> </w:t>
      </w:r>
      <w:r w:rsidR="00E82C2D">
        <w:t xml:space="preserve">Schelling offers an alternative understanding of self-positing that is more akin to Spinoza’s conception of </w:t>
      </w:r>
      <w:r w:rsidR="00E82C2D">
        <w:rPr>
          <w:i/>
          <w:iCs/>
        </w:rPr>
        <w:t>causa sui</w:t>
      </w:r>
      <w:r w:rsidR="00E82C2D">
        <w:t xml:space="preserve">, moving Fichte’s theory of self-positing in the direction of Schelling’s own later </w:t>
      </w:r>
      <w:r w:rsidR="00E82C2D">
        <w:rPr>
          <w:i/>
          <w:iCs/>
        </w:rPr>
        <w:t xml:space="preserve">Naturphilosophie. </w:t>
      </w:r>
      <w:r w:rsidR="00E82C2D">
        <w:t xml:space="preserve">At the time of the publication of the </w:t>
      </w:r>
      <w:r w:rsidR="00E82C2D">
        <w:rPr>
          <w:i/>
          <w:iCs/>
        </w:rPr>
        <w:t>Differenzschrift,</w:t>
      </w:r>
      <w:r w:rsidR="00E82C2D" w:rsidRPr="00936B1C">
        <w:rPr>
          <w:rStyle w:val="FootnoteReference"/>
        </w:rPr>
        <w:footnoteReference w:id="75"/>
      </w:r>
      <w:r w:rsidR="00E82C2D">
        <w:rPr>
          <w:i/>
          <w:iCs/>
        </w:rPr>
        <w:t xml:space="preserve"> </w:t>
      </w:r>
      <w:r w:rsidRPr="00772ED2">
        <w:t>Schelling, by now at his breaking point with Fichte, refers to Hegel’s manuscript in his correspondence with Fichte to assert both his own independence and the superiority of his mode of philosophizing.</w:t>
      </w:r>
      <w:r w:rsidRPr="00772ED2">
        <w:rPr>
          <w:rStyle w:val="FootnoteReference"/>
          <w:rFonts w:eastAsia="Aptos"/>
        </w:rPr>
        <w:footnoteReference w:id="76"/>
      </w:r>
      <w:r w:rsidRPr="00772ED2">
        <w:t xml:space="preserve"> He also, moreover, uses the ‘identity of identity and difference’ slogan in his own </w:t>
      </w:r>
      <w:r w:rsidRPr="00772ED2">
        <w:rPr>
          <w:i/>
          <w:iCs/>
        </w:rPr>
        <w:t xml:space="preserve">Bruno </w:t>
      </w:r>
      <w:r w:rsidRPr="00772ED2">
        <w:t xml:space="preserve">(1802) dialogue immediately following the </w:t>
      </w:r>
      <w:r w:rsidRPr="00772ED2">
        <w:rPr>
          <w:i/>
          <w:iCs/>
        </w:rPr>
        <w:t>Differenzs</w:t>
      </w:r>
      <w:r w:rsidR="008F7367">
        <w:rPr>
          <w:i/>
          <w:iCs/>
        </w:rPr>
        <w:t>c</w:t>
      </w:r>
      <w:r w:rsidRPr="00772ED2">
        <w:rPr>
          <w:i/>
          <w:iCs/>
        </w:rPr>
        <w:t>hrift.</w:t>
      </w:r>
      <w:r w:rsidRPr="00772ED2">
        <w:rPr>
          <w:rStyle w:val="FootnoteReference"/>
          <w:rFonts w:eastAsia="Aptos"/>
        </w:rPr>
        <w:footnoteReference w:id="77"/>
      </w:r>
      <w:r w:rsidRPr="00772ED2">
        <w:rPr>
          <w:i/>
          <w:iCs/>
        </w:rPr>
        <w:t xml:space="preserve"> </w:t>
      </w:r>
      <w:r w:rsidRPr="00772ED2">
        <w:t xml:space="preserve">Hegel does provide some explanation in the </w:t>
      </w:r>
      <w:r w:rsidRPr="00772ED2">
        <w:rPr>
          <w:i/>
          <w:iCs/>
        </w:rPr>
        <w:t>Differenzs</w:t>
      </w:r>
      <w:r w:rsidR="008F7367">
        <w:rPr>
          <w:i/>
          <w:iCs/>
        </w:rPr>
        <w:t>c</w:t>
      </w:r>
      <w:r w:rsidRPr="00772ED2">
        <w:rPr>
          <w:i/>
          <w:iCs/>
        </w:rPr>
        <w:t xml:space="preserve">hrift </w:t>
      </w:r>
      <w:r w:rsidRPr="00772ED2">
        <w:t xml:space="preserve">of how he thinks that Schelling’s philosophy specifically satisfies the speculative identity thesis, but for the purposes of this essay these comments are philosophically uninteresting. To begin with, Hegel is here primarily concerned with the argumentative form of </w:t>
      </w:r>
      <w:r w:rsidRPr="00772ED2">
        <w:lastRenderedPageBreak/>
        <w:t xml:space="preserve">Schelling’s 1800 </w:t>
      </w:r>
      <w:r w:rsidRPr="00772ED2">
        <w:rPr>
          <w:i/>
          <w:iCs/>
        </w:rPr>
        <w:t xml:space="preserve">System of Transcendental Idealism. </w:t>
      </w:r>
      <w:r w:rsidRPr="00772ED2">
        <w:t xml:space="preserve">This is ironic because Schelling actually designed the </w:t>
      </w:r>
      <w:r w:rsidRPr="00772ED2">
        <w:rPr>
          <w:i/>
          <w:iCs/>
        </w:rPr>
        <w:t xml:space="preserve">System of Transcendental Idealism </w:t>
      </w:r>
      <w:r w:rsidRPr="00772ED2">
        <w:t xml:space="preserve">to capitulate to Fichte and present the philosophy of nature and transcendental philosophy as parallel, independently necessary, and ultimately convergent forms of explanation. After the rift between Fichte and Schelling, this mode of presentation disappears from Schelling’s later works altogether. The mature Hegel certainly would not endorse the structure of Schelling’s </w:t>
      </w:r>
      <w:r w:rsidRPr="00772ED2">
        <w:rPr>
          <w:i/>
          <w:iCs/>
        </w:rPr>
        <w:t xml:space="preserve">System of Transcendental Idealism </w:t>
      </w:r>
      <w:r w:rsidRPr="00772ED2">
        <w:t xml:space="preserve">as the full realization of his own speculative identity thesis. </w:t>
      </w:r>
    </w:p>
    <w:p w14:paraId="0213A71A" w14:textId="2D60C182" w:rsidR="000B2347" w:rsidRDefault="00C23D59" w:rsidP="00936B1C">
      <w:pPr>
        <w:spacing w:line="480" w:lineRule="auto"/>
        <w:ind w:firstLine="720"/>
        <w:jc w:val="both"/>
      </w:pPr>
      <w:r w:rsidRPr="00772ED2">
        <w:t xml:space="preserve">The </w:t>
      </w:r>
      <w:r w:rsidRPr="00772ED2">
        <w:rPr>
          <w:i/>
          <w:iCs/>
        </w:rPr>
        <w:t>Differenzs</w:t>
      </w:r>
      <w:r w:rsidR="008F7367">
        <w:rPr>
          <w:i/>
          <w:iCs/>
        </w:rPr>
        <w:t>c</w:t>
      </w:r>
      <w:r w:rsidRPr="00772ED2">
        <w:rPr>
          <w:i/>
          <w:iCs/>
        </w:rPr>
        <w:t xml:space="preserve">hrift </w:t>
      </w:r>
      <w:r w:rsidRPr="00772ED2">
        <w:t xml:space="preserve">is then at least to some extent disappointing. It develops a nuanced and extremely rich conception of the central purpose of philosophical inquiry and provides quite interesting reconstructions of the philosophical systems of Hegel’s German Idealist contemporaries. The most detailed section of the book is principally concerned with an elaborate close reading of the </w:t>
      </w:r>
      <w:r w:rsidRPr="00772ED2">
        <w:rPr>
          <w:i/>
          <w:iCs/>
        </w:rPr>
        <w:t xml:space="preserve">Wissenschaftslehre, </w:t>
      </w:r>
      <w:r w:rsidR="00814648" w:rsidRPr="00772ED2">
        <w:t>and</w:t>
      </w:r>
      <w:r w:rsidRPr="00772ED2">
        <w:t xml:space="preserve"> his general Fichte-interpretation remains mostly constant from this point on, and </w:t>
      </w:r>
      <w:r w:rsidR="003D2115">
        <w:t xml:space="preserve">later on </w:t>
      </w:r>
      <w:r w:rsidRPr="00772ED2">
        <w:t xml:space="preserve">he regularly repeats points originally developed in the </w:t>
      </w:r>
      <w:r w:rsidRPr="00772ED2">
        <w:rPr>
          <w:i/>
          <w:iCs/>
        </w:rPr>
        <w:t>Differenzs</w:t>
      </w:r>
      <w:r w:rsidR="008F7367">
        <w:rPr>
          <w:i/>
          <w:iCs/>
        </w:rPr>
        <w:t>c</w:t>
      </w:r>
      <w:r w:rsidRPr="00772ED2">
        <w:rPr>
          <w:i/>
          <w:iCs/>
        </w:rPr>
        <w:t xml:space="preserve">hrift. </w:t>
      </w:r>
      <w:r w:rsidR="00685CDC">
        <w:t xml:space="preserve">Close attention to the nuances of Hegel’s interpretation reveals an image of Fichte on the cusp of a genuine philosophical revolution, for as he will later remark in his </w:t>
      </w:r>
      <w:r w:rsidR="00685CDC">
        <w:rPr>
          <w:i/>
          <w:iCs/>
        </w:rPr>
        <w:t xml:space="preserve">Lectures on the History of Philosophy, </w:t>
      </w:r>
      <w:r w:rsidR="00685CDC">
        <w:t>it is through Fichte’s account of self-positing that he embarks on “</w:t>
      </w:r>
      <w:r w:rsidR="00685CDC" w:rsidRPr="00772ED2">
        <w:t>the first rational attempt that has ever been made to deduce the categories.”</w:t>
      </w:r>
      <w:r w:rsidR="00685CDC" w:rsidRPr="00772ED2">
        <w:rPr>
          <w:rStyle w:val="FootnoteReference"/>
          <w:rFonts w:eastAsia="Aptos"/>
        </w:rPr>
        <w:footnoteReference w:id="78"/>
      </w:r>
      <w:r w:rsidR="00685CDC" w:rsidRPr="00772ED2">
        <w:t xml:space="preserve"> </w:t>
      </w:r>
      <w:r w:rsidRPr="00772ED2">
        <w:t xml:space="preserve">But the very climax of the work comes not in Hegel’s critical comments about Fichte, but in the philosophical vision he </w:t>
      </w:r>
      <w:r w:rsidR="004A57F6">
        <w:t>discovers within Fichte’s theory of self-positing,</w:t>
      </w:r>
      <w:r w:rsidRPr="00772ED2">
        <w:t xml:space="preserve"> the speculative identity thesis. And it is unfortunate that the </w:t>
      </w:r>
      <w:r w:rsidRPr="00772ED2">
        <w:rPr>
          <w:i/>
          <w:iCs/>
        </w:rPr>
        <w:t>Differenzs</w:t>
      </w:r>
      <w:r w:rsidR="008F7367">
        <w:rPr>
          <w:i/>
          <w:iCs/>
        </w:rPr>
        <w:t>c</w:t>
      </w:r>
      <w:r w:rsidRPr="00772ED2">
        <w:rPr>
          <w:i/>
          <w:iCs/>
        </w:rPr>
        <w:t xml:space="preserve">hrift </w:t>
      </w:r>
      <w:r w:rsidRPr="00772ED2">
        <w:t xml:space="preserve">can only meekly point in the direction of Schelling’s more recent philosophical works, a solution that Hegel himself could not sit satisfied with for very long. In the later </w:t>
      </w:r>
      <w:r w:rsidRPr="00772ED2">
        <w:rPr>
          <w:i/>
          <w:iCs/>
        </w:rPr>
        <w:t xml:space="preserve">Science of Logic, </w:t>
      </w:r>
      <w:r w:rsidRPr="00772ED2">
        <w:t xml:space="preserve">Hegel describes the speculative identity thesis as “the first, purest, </w:t>
      </w:r>
      <w:r w:rsidRPr="00772ED2">
        <w:lastRenderedPageBreak/>
        <w:t>that is, most abstract, definition of the absolute.”</w:t>
      </w:r>
      <w:r w:rsidRPr="00772ED2">
        <w:rPr>
          <w:rStyle w:val="FootnoteReference"/>
          <w:rFonts w:eastAsia="Aptos"/>
        </w:rPr>
        <w:footnoteReference w:id="79"/>
      </w:r>
      <w:r w:rsidRPr="00772ED2">
        <w:t xml:space="preserve"> The contemporary reader of Hegel cannot help but see that the </w:t>
      </w:r>
      <w:r w:rsidRPr="00772ED2">
        <w:rPr>
          <w:i/>
          <w:iCs/>
        </w:rPr>
        <w:t>Differenzs</w:t>
      </w:r>
      <w:r w:rsidR="008F7367">
        <w:rPr>
          <w:i/>
          <w:iCs/>
        </w:rPr>
        <w:t>c</w:t>
      </w:r>
      <w:r w:rsidRPr="00772ED2">
        <w:rPr>
          <w:i/>
          <w:iCs/>
        </w:rPr>
        <w:t xml:space="preserve">hrift </w:t>
      </w:r>
      <w:r w:rsidRPr="00772ED2">
        <w:t xml:space="preserve">was not leading to a new variation of Schelling’s </w:t>
      </w:r>
      <w:r w:rsidRPr="00772ED2">
        <w:rPr>
          <w:i/>
          <w:iCs/>
        </w:rPr>
        <w:t xml:space="preserve">System of Transcendental Idealism, </w:t>
      </w:r>
      <w:r w:rsidRPr="00772ED2">
        <w:t xml:space="preserve">but to Hegel’s own mature philosophy. </w:t>
      </w:r>
    </w:p>
    <w:p w14:paraId="49EB339D" w14:textId="1C6D69CE" w:rsidR="001975F6" w:rsidRDefault="000B2347" w:rsidP="000B2347">
      <w:pPr>
        <w:spacing w:line="480" w:lineRule="auto"/>
        <w:jc w:val="center"/>
      </w:pPr>
      <w:r>
        <w:t>Works Cited</w:t>
      </w:r>
    </w:p>
    <w:p w14:paraId="404A9C54" w14:textId="77777777" w:rsidR="000D0FBC" w:rsidRDefault="000D0FBC" w:rsidP="000D0FBC">
      <w:pPr>
        <w:spacing w:line="480" w:lineRule="auto"/>
        <w:jc w:val="both"/>
        <w:rPr>
          <w:i/>
          <w:iCs/>
        </w:rPr>
      </w:pPr>
      <w:r w:rsidRPr="00772ED2">
        <w:t>Breazeale, Daniel. “</w:t>
      </w:r>
      <w:r w:rsidRPr="00772ED2">
        <w:rPr>
          <w:i/>
          <w:iCs/>
        </w:rPr>
        <w:t>Anstoß</w:t>
      </w:r>
      <w:r w:rsidRPr="00772ED2">
        <w:t xml:space="preserve">, Abstract Realism, and the Finitude of the I” in </w:t>
      </w:r>
      <w:r w:rsidRPr="00772ED2">
        <w:rPr>
          <w:i/>
          <w:iCs/>
        </w:rPr>
        <w:t>Thinking</w:t>
      </w:r>
      <w:r>
        <w:rPr>
          <w:i/>
          <w:iCs/>
        </w:rPr>
        <w:t xml:space="preserve"> </w:t>
      </w:r>
      <w:r w:rsidRPr="00772ED2">
        <w:rPr>
          <w:i/>
          <w:iCs/>
        </w:rPr>
        <w:t xml:space="preserve">Through the </w:t>
      </w:r>
    </w:p>
    <w:p w14:paraId="095C177D" w14:textId="77777777" w:rsidR="000D0FBC" w:rsidRPr="009131DE" w:rsidRDefault="000D0FBC" w:rsidP="000D0FBC">
      <w:pPr>
        <w:spacing w:line="480" w:lineRule="auto"/>
        <w:ind w:firstLine="720"/>
        <w:jc w:val="both"/>
        <w:rPr>
          <w:i/>
          <w:iCs/>
        </w:rPr>
      </w:pPr>
      <w:r w:rsidRPr="00772ED2">
        <w:rPr>
          <w:i/>
          <w:iCs/>
        </w:rPr>
        <w:t xml:space="preserve">Wissenschaftslehre. </w:t>
      </w:r>
      <w:r w:rsidRPr="00772ED2">
        <w:t>Oxford: Oxford University Press</w:t>
      </w:r>
      <w:r>
        <w:t>, 2013.</w:t>
      </w:r>
      <w:r w:rsidRPr="00772ED2">
        <w:t xml:space="preserve"> 156—196. </w:t>
      </w:r>
    </w:p>
    <w:p w14:paraId="0DFC3172" w14:textId="77777777" w:rsidR="000D0FBC" w:rsidRDefault="000D0FBC" w:rsidP="000D0FBC">
      <w:pPr>
        <w:spacing w:line="480" w:lineRule="auto"/>
        <w:jc w:val="both"/>
        <w:rPr>
          <w:i/>
          <w:iCs/>
        </w:rPr>
      </w:pPr>
      <w:r w:rsidRPr="00772ED2">
        <w:t xml:space="preserve">Fichte, J.G. </w:t>
      </w:r>
      <w:r>
        <w:rPr>
          <w:i/>
          <w:iCs/>
        </w:rPr>
        <w:t xml:space="preserve">An Attempt at a New Presentation of the Wissenschaftslehre </w:t>
      </w:r>
      <w:r>
        <w:t xml:space="preserve">in </w:t>
      </w:r>
      <w:r w:rsidRPr="00772ED2">
        <w:rPr>
          <w:i/>
          <w:iCs/>
        </w:rPr>
        <w:t>Introductions to the</w:t>
      </w:r>
    </w:p>
    <w:p w14:paraId="1F0188EE" w14:textId="77777777" w:rsidR="000D0FBC" w:rsidRDefault="000D0FBC" w:rsidP="000D0FBC">
      <w:pPr>
        <w:spacing w:line="480" w:lineRule="auto"/>
        <w:ind w:firstLine="720"/>
        <w:jc w:val="both"/>
      </w:pPr>
      <w:r w:rsidRPr="00772ED2">
        <w:t>Wissenschaftslehre trans. and ed. Daniel Breazeale.</w:t>
      </w:r>
      <w:r>
        <w:t xml:space="preserve"> </w:t>
      </w:r>
      <w:r w:rsidRPr="00772ED2">
        <w:t>Indianapolis: Hackett</w:t>
      </w:r>
      <w:r>
        <w:t xml:space="preserve">, 1994. 1—118. </w:t>
      </w:r>
    </w:p>
    <w:p w14:paraId="75F2496F" w14:textId="77777777" w:rsidR="000D0FBC" w:rsidRDefault="000D0FBC" w:rsidP="000D0FBC">
      <w:pPr>
        <w:spacing w:line="480" w:lineRule="auto"/>
        <w:jc w:val="both"/>
        <w:rPr>
          <w:i/>
          <w:iCs/>
        </w:rPr>
      </w:pPr>
      <w:r w:rsidRPr="00772ED2">
        <w:t xml:space="preserve">Fichte, J.G. “Concerning the Concept of the </w:t>
      </w:r>
      <w:r w:rsidRPr="00772ED2">
        <w:rPr>
          <w:i/>
          <w:iCs/>
        </w:rPr>
        <w:t>Wissenschaftslehre</w:t>
      </w:r>
      <w:r w:rsidRPr="00772ED2">
        <w:t xml:space="preserve">” in </w:t>
      </w:r>
      <w:r w:rsidRPr="00772ED2">
        <w:rPr>
          <w:i/>
          <w:iCs/>
        </w:rPr>
        <w:t>Foundation of the</w:t>
      </w:r>
      <w:r>
        <w:rPr>
          <w:i/>
          <w:iCs/>
        </w:rPr>
        <w:t xml:space="preserve"> </w:t>
      </w:r>
      <w:r w:rsidRPr="00772ED2">
        <w:rPr>
          <w:i/>
          <w:iCs/>
        </w:rPr>
        <w:t xml:space="preserve">Entire </w:t>
      </w:r>
      <w:r>
        <w:rPr>
          <w:i/>
          <w:iCs/>
        </w:rPr>
        <w:t>\</w:t>
      </w:r>
    </w:p>
    <w:p w14:paraId="6AF82DAB" w14:textId="77777777" w:rsidR="000D0FBC" w:rsidRDefault="000D0FBC" w:rsidP="000D0FBC">
      <w:pPr>
        <w:spacing w:line="480" w:lineRule="auto"/>
        <w:ind w:firstLine="720"/>
        <w:jc w:val="both"/>
      </w:pPr>
      <w:r w:rsidRPr="00772ED2">
        <w:t xml:space="preserve">Wissenschaftslehre </w:t>
      </w:r>
      <w:r w:rsidRPr="00772ED2">
        <w:rPr>
          <w:i/>
          <w:iCs/>
        </w:rPr>
        <w:t>and Related Writings (1794—1795)</w:t>
      </w:r>
      <w:r w:rsidRPr="00772ED2">
        <w:t xml:space="preserve"> ed. and trans. Daniel</w:t>
      </w:r>
      <w:r>
        <w:rPr>
          <w:i/>
          <w:iCs/>
        </w:rPr>
        <w:t xml:space="preserve"> </w:t>
      </w:r>
      <w:r w:rsidRPr="00772ED2">
        <w:t xml:space="preserve">Breazeale. </w:t>
      </w:r>
    </w:p>
    <w:p w14:paraId="4DFCED2F" w14:textId="77777777" w:rsidR="000D0FBC" w:rsidRPr="00983277" w:rsidRDefault="000D0FBC" w:rsidP="000D0FBC">
      <w:pPr>
        <w:spacing w:line="480" w:lineRule="auto"/>
        <w:ind w:firstLine="720"/>
        <w:jc w:val="both"/>
        <w:rPr>
          <w:i/>
          <w:iCs/>
        </w:rPr>
      </w:pPr>
      <w:r w:rsidRPr="00772ED2">
        <w:t>Oxford: Oxford University Press</w:t>
      </w:r>
      <w:r>
        <w:t>, 2021</w:t>
      </w:r>
      <w:r w:rsidRPr="00772ED2">
        <w:t xml:space="preserve">. 152—195. </w:t>
      </w:r>
    </w:p>
    <w:p w14:paraId="11EDF2CB" w14:textId="77777777" w:rsidR="000D0FBC" w:rsidRDefault="000D0FBC" w:rsidP="000D0FBC">
      <w:pPr>
        <w:spacing w:line="480" w:lineRule="auto"/>
        <w:jc w:val="both"/>
        <w:rPr>
          <w:i/>
          <w:iCs/>
        </w:rPr>
      </w:pPr>
      <w:r w:rsidRPr="00772ED2">
        <w:t xml:space="preserve">Fichte, J.G. </w:t>
      </w:r>
      <w:r w:rsidRPr="00772ED2">
        <w:rPr>
          <w:i/>
          <w:iCs/>
        </w:rPr>
        <w:t xml:space="preserve">Foundation of the Entire Wissenschaftslehre </w:t>
      </w:r>
      <w:r w:rsidRPr="00772ED2">
        <w:t xml:space="preserve">in </w:t>
      </w:r>
      <w:r w:rsidRPr="00772ED2">
        <w:rPr>
          <w:i/>
          <w:iCs/>
        </w:rPr>
        <w:t>Foundation of the</w:t>
      </w:r>
      <w:r>
        <w:rPr>
          <w:i/>
          <w:iCs/>
        </w:rPr>
        <w:t xml:space="preserve"> </w:t>
      </w:r>
      <w:r w:rsidRPr="00772ED2">
        <w:rPr>
          <w:i/>
          <w:iCs/>
        </w:rPr>
        <w:t xml:space="preserve">Entire </w:t>
      </w:r>
    </w:p>
    <w:p w14:paraId="70880147" w14:textId="77777777" w:rsidR="000D0FBC" w:rsidRDefault="000D0FBC" w:rsidP="000D0FBC">
      <w:pPr>
        <w:spacing w:line="480" w:lineRule="auto"/>
        <w:ind w:firstLine="720"/>
        <w:jc w:val="both"/>
      </w:pPr>
      <w:r w:rsidRPr="00772ED2">
        <w:t xml:space="preserve">Wissenschaftslehre </w:t>
      </w:r>
      <w:r w:rsidRPr="00772ED2">
        <w:rPr>
          <w:i/>
          <w:iCs/>
        </w:rPr>
        <w:t>and Related Writings (1794—1795)</w:t>
      </w:r>
      <w:r w:rsidRPr="00772ED2">
        <w:t xml:space="preserve"> ed. and trans. Daniel</w:t>
      </w:r>
      <w:r>
        <w:rPr>
          <w:i/>
          <w:iCs/>
        </w:rPr>
        <w:t xml:space="preserve"> </w:t>
      </w:r>
      <w:r w:rsidRPr="00772ED2">
        <w:t xml:space="preserve">Breazeale. </w:t>
      </w:r>
    </w:p>
    <w:p w14:paraId="2CA5EF17" w14:textId="77777777" w:rsidR="000D0FBC" w:rsidRPr="00983277" w:rsidRDefault="000D0FBC" w:rsidP="000D0FBC">
      <w:pPr>
        <w:spacing w:line="480" w:lineRule="auto"/>
        <w:ind w:firstLine="720"/>
        <w:jc w:val="both"/>
        <w:rPr>
          <w:i/>
          <w:iCs/>
        </w:rPr>
      </w:pPr>
      <w:r w:rsidRPr="00772ED2">
        <w:t>Oxford: Oxford University Press</w:t>
      </w:r>
      <w:r>
        <w:t>, 2021.</w:t>
      </w:r>
      <w:r w:rsidRPr="00772ED2">
        <w:t xml:space="preserve"> 196—381.</w:t>
      </w:r>
    </w:p>
    <w:p w14:paraId="6DC86E07" w14:textId="77777777" w:rsidR="00C97F61" w:rsidRDefault="007547F0" w:rsidP="00B9254B">
      <w:pPr>
        <w:spacing w:line="480" w:lineRule="auto"/>
        <w:jc w:val="both"/>
      </w:pPr>
      <w:r>
        <w:t xml:space="preserve">Franks, Paul. </w:t>
      </w:r>
      <w:r w:rsidR="00C97F61">
        <w:t>“Freedom, Tatsache, and Tathandlung in the Development of Fichte’s Jena</w:t>
      </w:r>
    </w:p>
    <w:p w14:paraId="34F757DC" w14:textId="2AE6A804" w:rsidR="007547F0" w:rsidRPr="00C97F61" w:rsidRDefault="00C97F61" w:rsidP="00936B1C">
      <w:pPr>
        <w:spacing w:line="480" w:lineRule="auto"/>
        <w:ind w:firstLine="720"/>
        <w:jc w:val="both"/>
      </w:pPr>
      <w:r>
        <w:t xml:space="preserve">Wissenschaftslehre” in </w:t>
      </w:r>
      <w:proofErr w:type="spellStart"/>
      <w:r>
        <w:rPr>
          <w:i/>
          <w:iCs/>
        </w:rPr>
        <w:t>Archiv</w:t>
      </w:r>
      <w:proofErr w:type="spellEnd"/>
      <w:r>
        <w:rPr>
          <w:i/>
          <w:iCs/>
        </w:rPr>
        <w:t xml:space="preserve"> </w:t>
      </w:r>
      <w:r w:rsidRPr="00C97F61">
        <w:rPr>
          <w:i/>
          <w:iCs/>
        </w:rPr>
        <w:t>für</w:t>
      </w:r>
      <w:r>
        <w:rPr>
          <w:i/>
          <w:iCs/>
        </w:rPr>
        <w:t xml:space="preserve"> </w:t>
      </w:r>
      <w:proofErr w:type="spellStart"/>
      <w:r>
        <w:rPr>
          <w:i/>
          <w:iCs/>
        </w:rPr>
        <w:t>Geschichte</w:t>
      </w:r>
      <w:proofErr w:type="spellEnd"/>
      <w:r>
        <w:rPr>
          <w:i/>
          <w:iCs/>
        </w:rPr>
        <w:t xml:space="preserve"> der Philosophie. </w:t>
      </w:r>
      <w:r>
        <w:t xml:space="preserve">Vol. 79, 1997, 310-323. </w:t>
      </w:r>
    </w:p>
    <w:p w14:paraId="71716F7C" w14:textId="3AFA7215" w:rsidR="00B9254B" w:rsidRPr="00772ED2" w:rsidRDefault="00B9254B" w:rsidP="00B9254B">
      <w:pPr>
        <w:spacing w:line="480" w:lineRule="auto"/>
        <w:jc w:val="both"/>
        <w:rPr>
          <w:i/>
          <w:iCs/>
        </w:rPr>
      </w:pPr>
      <w:r w:rsidRPr="00772ED2">
        <w:t xml:space="preserve">Hegel, G.W.F. </w:t>
      </w:r>
      <w:r w:rsidRPr="00772ED2">
        <w:rPr>
          <w:i/>
          <w:iCs/>
        </w:rPr>
        <w:t>Lectures on the History of Philosophy, Volume 3: Medieval and Modern</w:t>
      </w:r>
    </w:p>
    <w:p w14:paraId="27CEEEB2" w14:textId="77777777" w:rsidR="00B9254B" w:rsidRDefault="00B9254B" w:rsidP="00B9254B">
      <w:pPr>
        <w:spacing w:line="480" w:lineRule="auto"/>
        <w:ind w:firstLine="720"/>
        <w:jc w:val="both"/>
      </w:pPr>
      <w:r w:rsidRPr="00772ED2">
        <w:rPr>
          <w:i/>
          <w:iCs/>
        </w:rPr>
        <w:t xml:space="preserve">Philosophy </w:t>
      </w:r>
      <w:r w:rsidRPr="00772ED2">
        <w:t>trans. E.S. Haldane and Frances H. Simson.</w:t>
      </w:r>
      <w:r>
        <w:t xml:space="preserve"> Lincoln: University of Nebraska</w:t>
      </w:r>
    </w:p>
    <w:p w14:paraId="48A7E5E0" w14:textId="77777777" w:rsidR="00B9254B" w:rsidRPr="00772ED2" w:rsidRDefault="00B9254B" w:rsidP="00B9254B">
      <w:pPr>
        <w:spacing w:line="480" w:lineRule="auto"/>
        <w:ind w:firstLine="720"/>
        <w:jc w:val="both"/>
      </w:pPr>
      <w:r>
        <w:t xml:space="preserve">Press, 1995. </w:t>
      </w:r>
    </w:p>
    <w:p w14:paraId="4909FF48" w14:textId="77777777" w:rsidR="000D0FBC" w:rsidRDefault="000D0FBC" w:rsidP="000D0FBC">
      <w:pPr>
        <w:spacing w:line="480" w:lineRule="auto"/>
        <w:jc w:val="both"/>
      </w:pPr>
      <w:r w:rsidRPr="00772ED2">
        <w:t xml:space="preserve">Hegel, G.W.F. </w:t>
      </w:r>
      <w:r w:rsidRPr="00772ED2">
        <w:rPr>
          <w:i/>
          <w:iCs/>
        </w:rPr>
        <w:t xml:space="preserve">The Difference Between Fichte’s and Schelling’s System of Philosophy </w:t>
      </w:r>
      <w:r w:rsidRPr="00772ED2">
        <w:t>ed.</w:t>
      </w:r>
      <w:r>
        <w:t xml:space="preserve"> </w:t>
      </w:r>
      <w:r w:rsidRPr="00772ED2">
        <w:t xml:space="preserve">and </w:t>
      </w:r>
    </w:p>
    <w:p w14:paraId="1F9358FB" w14:textId="77777777" w:rsidR="000D0FBC" w:rsidRPr="00772ED2" w:rsidRDefault="000D0FBC" w:rsidP="000D0FBC">
      <w:pPr>
        <w:spacing w:line="480" w:lineRule="auto"/>
        <w:ind w:firstLine="720"/>
        <w:jc w:val="both"/>
      </w:pPr>
      <w:r w:rsidRPr="00772ED2">
        <w:t>trans. H.S. Harris and Walter Cerf. Albany: SUNY Press</w:t>
      </w:r>
      <w:r>
        <w:t xml:space="preserve">, 1977. </w:t>
      </w:r>
    </w:p>
    <w:p w14:paraId="1FC0A63D" w14:textId="77777777" w:rsidR="000D0FBC" w:rsidRDefault="000D0FBC" w:rsidP="000D0FBC">
      <w:pPr>
        <w:spacing w:line="480" w:lineRule="auto"/>
        <w:jc w:val="both"/>
      </w:pPr>
      <w:r w:rsidRPr="00772ED2">
        <w:t xml:space="preserve">Hegel, G.W.F. </w:t>
      </w:r>
      <w:r w:rsidRPr="00772ED2">
        <w:rPr>
          <w:i/>
          <w:iCs/>
        </w:rPr>
        <w:t xml:space="preserve">The Science of Logic </w:t>
      </w:r>
      <w:r w:rsidRPr="00772ED2">
        <w:t>trans. George di Giovanni. Cambridge: Cambridge</w:t>
      </w:r>
      <w:r>
        <w:t xml:space="preserve"> </w:t>
      </w:r>
      <w:r w:rsidRPr="00772ED2">
        <w:t xml:space="preserve">University </w:t>
      </w:r>
    </w:p>
    <w:p w14:paraId="3CB6452E" w14:textId="77777777" w:rsidR="000D0FBC" w:rsidRPr="00772ED2" w:rsidRDefault="000D0FBC" w:rsidP="000D0FBC">
      <w:pPr>
        <w:spacing w:line="480" w:lineRule="auto"/>
        <w:ind w:firstLine="720"/>
        <w:jc w:val="both"/>
      </w:pPr>
      <w:r w:rsidRPr="00772ED2">
        <w:lastRenderedPageBreak/>
        <w:t>Press</w:t>
      </w:r>
      <w:r>
        <w:t>, 2010</w:t>
      </w:r>
      <w:r w:rsidRPr="00772ED2">
        <w:t>.</w:t>
      </w:r>
    </w:p>
    <w:p w14:paraId="1A12A3E5" w14:textId="77777777" w:rsidR="000D0FBC" w:rsidRDefault="000D0FBC" w:rsidP="000D0FBC">
      <w:pPr>
        <w:spacing w:line="480" w:lineRule="auto"/>
        <w:jc w:val="both"/>
        <w:rPr>
          <w:i/>
          <w:iCs/>
        </w:rPr>
      </w:pPr>
      <w:r w:rsidRPr="00772ED2">
        <w:t xml:space="preserve">Hegel, G.W.F. </w:t>
      </w:r>
      <w:r w:rsidRPr="00772ED2">
        <w:rPr>
          <w:i/>
          <w:iCs/>
        </w:rPr>
        <w:t>Encyclopedia of the Philosophical Sciences in Basic Outline, Part I:</w:t>
      </w:r>
      <w:r>
        <w:rPr>
          <w:i/>
          <w:iCs/>
        </w:rPr>
        <w:t xml:space="preserve"> </w:t>
      </w:r>
      <w:r w:rsidRPr="00772ED2">
        <w:rPr>
          <w:i/>
          <w:iCs/>
        </w:rPr>
        <w:t xml:space="preserve">Science of </w:t>
      </w:r>
    </w:p>
    <w:p w14:paraId="58263C0A" w14:textId="77777777" w:rsidR="000D0FBC" w:rsidRDefault="000D0FBC" w:rsidP="000D0FBC">
      <w:pPr>
        <w:spacing w:line="480" w:lineRule="auto"/>
        <w:ind w:firstLine="720"/>
        <w:jc w:val="both"/>
      </w:pPr>
      <w:r w:rsidRPr="00772ED2">
        <w:rPr>
          <w:i/>
          <w:iCs/>
        </w:rPr>
        <w:t xml:space="preserve">Logic </w:t>
      </w:r>
      <w:r w:rsidRPr="00772ED2">
        <w:t>trans. and ed. Klaus Brinkmann and Daniel O. Dahlstrom. Cambridge:</w:t>
      </w:r>
      <w:r>
        <w:rPr>
          <w:i/>
          <w:iCs/>
        </w:rPr>
        <w:t xml:space="preserve"> </w:t>
      </w:r>
      <w:r w:rsidRPr="00772ED2">
        <w:t xml:space="preserve">Cambridge </w:t>
      </w:r>
    </w:p>
    <w:p w14:paraId="4DDA4025" w14:textId="77777777" w:rsidR="000D0FBC" w:rsidRPr="00983277" w:rsidRDefault="000D0FBC" w:rsidP="000D0FBC">
      <w:pPr>
        <w:spacing w:line="480" w:lineRule="auto"/>
        <w:ind w:firstLine="720"/>
        <w:jc w:val="both"/>
        <w:rPr>
          <w:i/>
          <w:iCs/>
        </w:rPr>
      </w:pPr>
      <w:r w:rsidRPr="00772ED2">
        <w:t>University Press</w:t>
      </w:r>
      <w:r>
        <w:t>, 2010.</w:t>
      </w:r>
    </w:p>
    <w:p w14:paraId="18A92431" w14:textId="77777777" w:rsidR="000D0FBC" w:rsidRPr="00772ED2" w:rsidRDefault="000D0FBC" w:rsidP="000D0FBC">
      <w:pPr>
        <w:spacing w:line="480" w:lineRule="auto"/>
        <w:jc w:val="both"/>
      </w:pPr>
      <w:r w:rsidRPr="00772ED2">
        <w:t xml:space="preserve">Hegel, G.W.F. </w:t>
      </w:r>
      <w:r w:rsidRPr="00772ED2">
        <w:rPr>
          <w:i/>
          <w:iCs/>
        </w:rPr>
        <w:t xml:space="preserve">The Phenomenology of Spirit </w:t>
      </w:r>
      <w:r w:rsidRPr="00772ED2">
        <w:t>trans. Terry Pinkard. Cambridge:</w:t>
      </w:r>
    </w:p>
    <w:p w14:paraId="2BDE31DC" w14:textId="77777777" w:rsidR="000D0FBC" w:rsidRDefault="000D0FBC" w:rsidP="000D0FBC">
      <w:pPr>
        <w:spacing w:line="480" w:lineRule="auto"/>
        <w:ind w:firstLine="720"/>
        <w:jc w:val="both"/>
      </w:pPr>
      <w:r w:rsidRPr="00772ED2">
        <w:t>Cambridge University Press</w:t>
      </w:r>
      <w:r>
        <w:t>, 2018.</w:t>
      </w:r>
    </w:p>
    <w:p w14:paraId="2FCAE0E6" w14:textId="77777777" w:rsidR="000D0FBC" w:rsidRDefault="000D0FBC" w:rsidP="000D0FBC">
      <w:pPr>
        <w:spacing w:line="480" w:lineRule="auto"/>
        <w:jc w:val="both"/>
        <w:rPr>
          <w:i/>
          <w:iCs/>
        </w:rPr>
      </w:pPr>
      <w:r w:rsidRPr="00772ED2">
        <w:t xml:space="preserve">Jacobi, Friedrich Heinrich. “Jacobi to Fichte” in </w:t>
      </w:r>
      <w:r w:rsidRPr="00772ED2">
        <w:rPr>
          <w:i/>
          <w:iCs/>
        </w:rPr>
        <w:t>The Main Philosophical Writings and the</w:t>
      </w:r>
      <w:r>
        <w:rPr>
          <w:i/>
          <w:iCs/>
        </w:rPr>
        <w:t xml:space="preserve"> </w:t>
      </w:r>
      <w:r w:rsidRPr="00772ED2">
        <w:rPr>
          <w:i/>
          <w:iCs/>
        </w:rPr>
        <w:t xml:space="preserve">Novel </w:t>
      </w:r>
    </w:p>
    <w:p w14:paraId="1522A149" w14:textId="77777777" w:rsidR="000D0FBC" w:rsidRDefault="000D0FBC" w:rsidP="000D0FBC">
      <w:pPr>
        <w:spacing w:line="480" w:lineRule="auto"/>
        <w:ind w:firstLine="720"/>
        <w:jc w:val="both"/>
      </w:pPr>
      <w:proofErr w:type="spellStart"/>
      <w:r w:rsidRPr="00772ED2">
        <w:t>Allwill</w:t>
      </w:r>
      <w:proofErr w:type="spellEnd"/>
      <w:r w:rsidRPr="00772ED2">
        <w:t xml:space="preserve"> trans. George di Giovanni. Montreal &amp; Kingston: McGill-Queen’s</w:t>
      </w:r>
      <w:r>
        <w:rPr>
          <w:i/>
          <w:iCs/>
        </w:rPr>
        <w:t xml:space="preserve"> </w:t>
      </w:r>
      <w:r w:rsidRPr="00772ED2">
        <w:t xml:space="preserve">University </w:t>
      </w:r>
    </w:p>
    <w:p w14:paraId="6C923D2A" w14:textId="77777777" w:rsidR="000D0FBC" w:rsidRPr="00983277" w:rsidRDefault="000D0FBC" w:rsidP="000D0FBC">
      <w:pPr>
        <w:spacing w:line="480" w:lineRule="auto"/>
        <w:ind w:firstLine="720"/>
        <w:jc w:val="both"/>
        <w:rPr>
          <w:i/>
          <w:iCs/>
        </w:rPr>
      </w:pPr>
      <w:r w:rsidRPr="00772ED2">
        <w:t>Press</w:t>
      </w:r>
      <w:r>
        <w:t>, 1994.</w:t>
      </w:r>
      <w:r w:rsidRPr="00772ED2">
        <w:t xml:space="preserve"> 497—536. </w:t>
      </w:r>
    </w:p>
    <w:p w14:paraId="3884EBE7" w14:textId="77777777" w:rsidR="000D0FBC" w:rsidRDefault="000D0FBC" w:rsidP="000D0FBC">
      <w:pPr>
        <w:spacing w:line="480" w:lineRule="auto"/>
        <w:jc w:val="both"/>
      </w:pPr>
      <w:r w:rsidRPr="00772ED2">
        <w:t>Johnston, Adria</w:t>
      </w:r>
      <w:r>
        <w:t>n.</w:t>
      </w:r>
      <w:r w:rsidRPr="00772ED2">
        <w:t xml:space="preserve"> </w:t>
      </w:r>
      <w:r w:rsidRPr="00772ED2">
        <w:rPr>
          <w:i/>
          <w:iCs/>
        </w:rPr>
        <w:t>A New German Idealism: Hegel, Žižek, and Dialectical Materialism.</w:t>
      </w:r>
      <w:r>
        <w:rPr>
          <w:i/>
          <w:iCs/>
        </w:rPr>
        <w:t xml:space="preserve"> </w:t>
      </w:r>
      <w:r w:rsidRPr="00772ED2">
        <w:t xml:space="preserve">New York: </w:t>
      </w:r>
    </w:p>
    <w:p w14:paraId="5E5AC9DE" w14:textId="77777777" w:rsidR="000D0FBC" w:rsidRPr="00717168" w:rsidRDefault="000D0FBC" w:rsidP="000D0FBC">
      <w:pPr>
        <w:spacing w:line="480" w:lineRule="auto"/>
        <w:ind w:firstLine="720"/>
        <w:jc w:val="both"/>
        <w:rPr>
          <w:i/>
          <w:iCs/>
        </w:rPr>
      </w:pPr>
      <w:r w:rsidRPr="00772ED2">
        <w:t>Columbia University Press</w:t>
      </w:r>
      <w:r>
        <w:t>, 2018.</w:t>
      </w:r>
    </w:p>
    <w:p w14:paraId="006E143A" w14:textId="77777777" w:rsidR="000D0FBC" w:rsidRDefault="000D0FBC" w:rsidP="000D0FBC">
      <w:pPr>
        <w:spacing w:line="480" w:lineRule="auto"/>
        <w:jc w:val="both"/>
      </w:pPr>
      <w:r w:rsidRPr="00772ED2">
        <w:t xml:space="preserve">Kant, Immanuel. </w:t>
      </w:r>
      <w:r w:rsidRPr="00772ED2">
        <w:rPr>
          <w:i/>
          <w:iCs/>
        </w:rPr>
        <w:t xml:space="preserve">Critique of Pure Reason </w:t>
      </w:r>
      <w:r w:rsidRPr="00772ED2">
        <w:t>trans. and ed. Paul Guyer and Allen Wood.</w:t>
      </w:r>
      <w:r>
        <w:t xml:space="preserve"> </w:t>
      </w:r>
      <w:r w:rsidRPr="00772ED2">
        <w:t xml:space="preserve">Cambridge: </w:t>
      </w:r>
    </w:p>
    <w:p w14:paraId="1A0AB117" w14:textId="77777777" w:rsidR="000D0FBC" w:rsidRPr="00772ED2" w:rsidRDefault="000D0FBC" w:rsidP="000D0FBC">
      <w:pPr>
        <w:spacing w:line="480" w:lineRule="auto"/>
        <w:ind w:firstLine="720"/>
        <w:jc w:val="both"/>
      </w:pPr>
      <w:r w:rsidRPr="00772ED2">
        <w:t>Cambridge University Press</w:t>
      </w:r>
      <w:r>
        <w:t>, 2009.</w:t>
      </w:r>
    </w:p>
    <w:p w14:paraId="44831605" w14:textId="77777777" w:rsidR="000D0FBC" w:rsidRDefault="000D0FBC" w:rsidP="000D0FBC">
      <w:pPr>
        <w:spacing w:line="480" w:lineRule="auto"/>
        <w:jc w:val="both"/>
      </w:pPr>
      <w:r w:rsidRPr="00772ED2">
        <w:t>Pippin, Robert</w:t>
      </w:r>
      <w:r>
        <w:t>.</w:t>
      </w:r>
      <w:r w:rsidRPr="00772ED2">
        <w:t xml:space="preserve"> </w:t>
      </w:r>
      <w:r w:rsidRPr="00772ED2">
        <w:rPr>
          <w:i/>
          <w:iCs/>
        </w:rPr>
        <w:t xml:space="preserve">Hegel’s Idealism: The Satisfactions of Self-Consciousness. </w:t>
      </w:r>
      <w:r w:rsidRPr="00772ED2">
        <w:t>Cambridge:</w:t>
      </w:r>
      <w:r>
        <w:t xml:space="preserve"> </w:t>
      </w:r>
      <w:r w:rsidRPr="00772ED2">
        <w:t xml:space="preserve">Cambridge </w:t>
      </w:r>
    </w:p>
    <w:p w14:paraId="73F08C90" w14:textId="77777777" w:rsidR="000D0FBC" w:rsidRDefault="000D0FBC" w:rsidP="000D0FBC">
      <w:pPr>
        <w:spacing w:line="480" w:lineRule="auto"/>
        <w:ind w:firstLine="720"/>
        <w:jc w:val="both"/>
      </w:pPr>
      <w:r w:rsidRPr="00772ED2">
        <w:t>University Press</w:t>
      </w:r>
      <w:r>
        <w:t>, 1989.</w:t>
      </w:r>
    </w:p>
    <w:p w14:paraId="1292CE38" w14:textId="77777777" w:rsidR="000D0FBC" w:rsidRDefault="000D0FBC" w:rsidP="000D0FBC">
      <w:pPr>
        <w:spacing w:line="480" w:lineRule="auto"/>
        <w:jc w:val="both"/>
      </w:pPr>
      <w:r w:rsidRPr="00772ED2">
        <w:t>Schelling, F.W.J. “Of the I as Principle of Philosophy, or On the Unconditioned in</w:t>
      </w:r>
      <w:r>
        <w:t xml:space="preserve"> </w:t>
      </w:r>
      <w:r w:rsidRPr="00772ED2">
        <w:t xml:space="preserve">Human </w:t>
      </w:r>
    </w:p>
    <w:p w14:paraId="24FE0559" w14:textId="77777777" w:rsidR="000D0FBC" w:rsidRDefault="000D0FBC" w:rsidP="000D0FBC">
      <w:pPr>
        <w:spacing w:line="480" w:lineRule="auto"/>
        <w:ind w:firstLine="720"/>
        <w:jc w:val="both"/>
      </w:pPr>
      <w:r w:rsidRPr="00772ED2">
        <w:t xml:space="preserve">Knowledge” in </w:t>
      </w:r>
      <w:r w:rsidRPr="00772ED2">
        <w:rPr>
          <w:i/>
          <w:iCs/>
        </w:rPr>
        <w:t xml:space="preserve">The Unconditional in Human Knowledge </w:t>
      </w:r>
      <w:r w:rsidRPr="00772ED2">
        <w:t>trans. Fritz Marti.</w:t>
      </w:r>
      <w:r>
        <w:t xml:space="preserve"> </w:t>
      </w:r>
      <w:r w:rsidRPr="00772ED2">
        <w:t xml:space="preserve">Lewisburg: </w:t>
      </w:r>
    </w:p>
    <w:p w14:paraId="401FFA5A" w14:textId="77777777" w:rsidR="000D0FBC" w:rsidRDefault="000D0FBC" w:rsidP="000D0FBC">
      <w:pPr>
        <w:spacing w:line="480" w:lineRule="auto"/>
        <w:ind w:firstLine="720"/>
        <w:jc w:val="both"/>
      </w:pPr>
      <w:r w:rsidRPr="00772ED2">
        <w:t>Bucknell University Press</w:t>
      </w:r>
      <w:r>
        <w:t>, 1980.</w:t>
      </w:r>
    </w:p>
    <w:p w14:paraId="5A40B26E" w14:textId="77777777" w:rsidR="000D0FBC" w:rsidRDefault="000D0FBC" w:rsidP="000D0FBC">
      <w:pPr>
        <w:spacing w:line="480" w:lineRule="auto"/>
        <w:jc w:val="both"/>
      </w:pPr>
      <w:r>
        <w:t xml:space="preserve">Schelling, F.W.J. </w:t>
      </w:r>
      <w:r>
        <w:rPr>
          <w:i/>
          <w:iCs/>
        </w:rPr>
        <w:t>System of Transcendental Idealism (1800)</w:t>
      </w:r>
      <w:r>
        <w:t xml:space="preserve"> trans. Peter Heath. Charlottesville:</w:t>
      </w:r>
    </w:p>
    <w:p w14:paraId="5B62977C" w14:textId="5263D073" w:rsidR="000D0FBC" w:rsidRDefault="000D0FBC" w:rsidP="000D0FBC">
      <w:pPr>
        <w:spacing w:line="480" w:lineRule="auto"/>
        <w:ind w:firstLine="720"/>
        <w:jc w:val="both"/>
      </w:pPr>
      <w:r>
        <w:t xml:space="preserve">University Press of Virginia, 1978. </w:t>
      </w:r>
    </w:p>
    <w:p w14:paraId="4B4C81A8" w14:textId="77777777" w:rsidR="000D0FBC" w:rsidRDefault="000D0FBC" w:rsidP="000D0FBC">
      <w:pPr>
        <w:spacing w:line="480" w:lineRule="auto"/>
        <w:jc w:val="both"/>
      </w:pPr>
      <w:r w:rsidRPr="00772ED2">
        <w:t xml:space="preserve">Schelling, F.W.J. </w:t>
      </w:r>
      <w:r w:rsidRPr="00772ED2">
        <w:rPr>
          <w:i/>
          <w:iCs/>
        </w:rPr>
        <w:t xml:space="preserve">Bruno, or, On the Natural and the Divine Principle of Things </w:t>
      </w:r>
      <w:r w:rsidRPr="00772ED2">
        <w:t>ed. and</w:t>
      </w:r>
      <w:r>
        <w:t xml:space="preserve"> </w:t>
      </w:r>
      <w:r w:rsidRPr="00772ED2">
        <w:t xml:space="preserve">trans. </w:t>
      </w:r>
    </w:p>
    <w:p w14:paraId="5165D941" w14:textId="64E5950B" w:rsidR="000D0FBC" w:rsidRDefault="000D0FBC" w:rsidP="000D0FBC">
      <w:pPr>
        <w:spacing w:line="480" w:lineRule="auto"/>
        <w:ind w:firstLine="720"/>
        <w:jc w:val="both"/>
      </w:pPr>
      <w:r w:rsidRPr="00772ED2">
        <w:t>Michael Vater. Albany: SUNY Press</w:t>
      </w:r>
      <w:r>
        <w:t>, 1984.</w:t>
      </w:r>
    </w:p>
    <w:p w14:paraId="24B60746" w14:textId="77777777" w:rsidR="00C97F61" w:rsidRDefault="00C97F61" w:rsidP="00C97F61">
      <w:pPr>
        <w:spacing w:line="480" w:lineRule="auto"/>
        <w:jc w:val="both"/>
      </w:pPr>
      <w:r>
        <w:t>Wood, David. “Fichte’s Absolute I and the Forgotten Tradition of Tathandlung” in M. Kisner et</w:t>
      </w:r>
    </w:p>
    <w:p w14:paraId="06A4A75C" w14:textId="77777777" w:rsidR="00C97F61" w:rsidRDefault="00C97F61" w:rsidP="00C97F61">
      <w:pPr>
        <w:spacing w:line="480" w:lineRule="auto"/>
        <w:ind w:firstLine="720"/>
        <w:jc w:val="both"/>
      </w:pPr>
      <w:proofErr w:type="gramStart"/>
      <w:r>
        <w:lastRenderedPageBreak/>
        <w:t>al</w:t>
      </w:r>
      <w:proofErr w:type="gramEnd"/>
      <w:r>
        <w:t xml:space="preserve">., </w:t>
      </w:r>
      <w:r>
        <w:rPr>
          <w:i/>
          <w:iCs/>
        </w:rPr>
        <w:t xml:space="preserve">Das Selbst und die Welt. Festschrift </w:t>
      </w:r>
      <w:r w:rsidRPr="00936B1C">
        <w:rPr>
          <w:i/>
          <w:iCs/>
        </w:rPr>
        <w:t>für Günter Zöller</w:t>
      </w:r>
      <w:r>
        <w:rPr>
          <w:i/>
          <w:iCs/>
        </w:rPr>
        <w:t xml:space="preserve"> </w:t>
      </w:r>
      <w:r>
        <w:t>(</w:t>
      </w:r>
      <w:r w:rsidRPr="00936B1C">
        <w:t xml:space="preserve">Würzburg: </w:t>
      </w:r>
      <w:proofErr w:type="spellStart"/>
      <w:r w:rsidRPr="00936B1C">
        <w:t>Königshausen</w:t>
      </w:r>
      <w:proofErr w:type="spellEnd"/>
      <w:r w:rsidRPr="00936B1C">
        <w:t xml:space="preserve"> &amp;</w:t>
      </w:r>
    </w:p>
    <w:p w14:paraId="3AA5EF83" w14:textId="29AA55A7" w:rsidR="00C97F61" w:rsidRPr="00C97F61" w:rsidRDefault="00C97F61" w:rsidP="00C97F61">
      <w:pPr>
        <w:spacing w:line="480" w:lineRule="auto"/>
        <w:ind w:firstLine="720"/>
        <w:jc w:val="both"/>
      </w:pPr>
      <w:r w:rsidRPr="00936B1C">
        <w:t>Neumann, 2019), 167-192</w:t>
      </w:r>
      <w:r>
        <w:t>.</w:t>
      </w:r>
    </w:p>
    <w:p w14:paraId="628C3825" w14:textId="77777777" w:rsidR="000B2347" w:rsidRDefault="000B2347" w:rsidP="00936B1C">
      <w:pPr>
        <w:spacing w:line="480" w:lineRule="auto"/>
        <w:ind w:firstLine="720"/>
        <w:jc w:val="both"/>
      </w:pPr>
    </w:p>
    <w:sectPr w:rsidR="000B234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9A9E9" w14:textId="77777777" w:rsidR="00443896" w:rsidRDefault="00443896" w:rsidP="00C23D59">
      <w:r>
        <w:separator/>
      </w:r>
    </w:p>
  </w:endnote>
  <w:endnote w:type="continuationSeparator" w:id="0">
    <w:p w14:paraId="4B438CE6" w14:textId="77777777" w:rsidR="00443896" w:rsidRDefault="00443896" w:rsidP="00C23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1F6EF" w14:textId="77777777" w:rsidR="00443896" w:rsidRDefault="00443896" w:rsidP="00C23D59">
      <w:r>
        <w:separator/>
      </w:r>
    </w:p>
  </w:footnote>
  <w:footnote w:type="continuationSeparator" w:id="0">
    <w:p w14:paraId="094A1025" w14:textId="77777777" w:rsidR="00443896" w:rsidRDefault="00443896" w:rsidP="00C23D59">
      <w:r>
        <w:continuationSeparator/>
      </w:r>
    </w:p>
  </w:footnote>
  <w:footnote w:id="1">
    <w:p w14:paraId="368FF00A" w14:textId="16BF3C7D" w:rsidR="009E4B11" w:rsidRPr="00EA61AC" w:rsidRDefault="009E4B11">
      <w:pPr>
        <w:pStyle w:val="FootnoteText"/>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w:t>
      </w:r>
      <w:r w:rsidR="00EA61AC">
        <w:rPr>
          <w:rFonts w:ascii="Times New Roman" w:hAnsi="Times New Roman"/>
        </w:rPr>
        <w:t>Pippin</w:t>
      </w:r>
      <w:r w:rsidR="0034279D">
        <w:rPr>
          <w:rFonts w:ascii="Times New Roman" w:hAnsi="Times New Roman"/>
        </w:rPr>
        <w:t xml:space="preserve"> (</w:t>
      </w:r>
      <w:r w:rsidR="0034279D">
        <w:rPr>
          <w:rFonts w:ascii="Times New Roman" w:hAnsi="Times New Roman"/>
          <w:i/>
          <w:iCs/>
        </w:rPr>
        <w:t xml:space="preserve">Hegel’s Idealism, </w:t>
      </w:r>
      <w:r w:rsidR="0034279D">
        <w:rPr>
          <w:rFonts w:ascii="Times New Roman" w:hAnsi="Times New Roman"/>
        </w:rPr>
        <w:t>56)</w:t>
      </w:r>
      <w:r w:rsidR="00EA61AC">
        <w:rPr>
          <w:rFonts w:ascii="Times New Roman" w:hAnsi="Times New Roman"/>
        </w:rPr>
        <w:t xml:space="preserve"> develops an interpretation of self-positing that virtually </w:t>
      </w:r>
      <w:r w:rsidR="00EA61AC">
        <w:rPr>
          <w:rFonts w:ascii="Times New Roman" w:hAnsi="Times New Roman"/>
          <w:i/>
          <w:iCs/>
        </w:rPr>
        <w:t xml:space="preserve">requires </w:t>
      </w:r>
      <w:r w:rsidR="00EA61AC">
        <w:rPr>
          <w:rFonts w:ascii="Times New Roman" w:hAnsi="Times New Roman"/>
        </w:rPr>
        <w:t>the problematic commitments that Hegel will later identify as ‘Fichte’s subjective idealism’ and ‘the reflective side of Fichte’s philosophy.’</w:t>
      </w:r>
    </w:p>
  </w:footnote>
  <w:footnote w:id="2">
    <w:p w14:paraId="38CC14A6" w14:textId="58B02FE6" w:rsidR="009E4B11" w:rsidRPr="0034279D" w:rsidRDefault="009E4B11">
      <w:pPr>
        <w:pStyle w:val="FootnoteText"/>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w:t>
      </w:r>
      <w:r w:rsidR="0034279D">
        <w:rPr>
          <w:rFonts w:ascii="Times New Roman" w:hAnsi="Times New Roman"/>
        </w:rPr>
        <w:t>Pippin (</w:t>
      </w:r>
      <w:r w:rsidR="0034279D">
        <w:rPr>
          <w:rFonts w:ascii="Times New Roman" w:hAnsi="Times New Roman"/>
          <w:i/>
          <w:iCs/>
        </w:rPr>
        <w:t xml:space="preserve">Hegel’s Idealism, </w:t>
      </w:r>
      <w:r w:rsidR="0034279D">
        <w:rPr>
          <w:rFonts w:ascii="Times New Roman" w:hAnsi="Times New Roman"/>
        </w:rPr>
        <w:t>18-</w:t>
      </w:r>
      <w:r w:rsidR="00D17900">
        <w:rPr>
          <w:rFonts w:ascii="Times New Roman" w:hAnsi="Times New Roman"/>
        </w:rPr>
        <w:t>1</w:t>
      </w:r>
      <w:r w:rsidR="0034279D">
        <w:rPr>
          <w:rFonts w:ascii="Times New Roman" w:hAnsi="Times New Roman"/>
        </w:rPr>
        <w:t xml:space="preserve">9). </w:t>
      </w:r>
    </w:p>
  </w:footnote>
  <w:footnote w:id="3">
    <w:p w14:paraId="4152A2E6" w14:textId="4E05C839" w:rsidR="00B67A39" w:rsidRPr="00936B1C" w:rsidRDefault="00B67A39" w:rsidP="00936B1C">
      <w:pPr>
        <w:pStyle w:val="FootnoteText"/>
        <w:jc w:val="both"/>
        <w:rPr>
          <w:rFonts w:ascii="Times New Roman" w:hAnsi="Times New Roman"/>
        </w:rPr>
      </w:pPr>
      <w:r w:rsidRPr="00936B1C">
        <w:rPr>
          <w:rStyle w:val="FootnoteReference"/>
          <w:rFonts w:ascii="Times New Roman" w:hAnsi="Times New Roman"/>
        </w:rPr>
        <w:footnoteRef/>
      </w:r>
      <w:r w:rsidRPr="00936B1C">
        <w:rPr>
          <w:rFonts w:ascii="Times New Roman" w:hAnsi="Times New Roman"/>
        </w:rPr>
        <w:t xml:space="preserve"> Rosen (</w:t>
      </w:r>
      <w:r w:rsidRPr="00936B1C">
        <w:rPr>
          <w:rFonts w:ascii="Times New Roman" w:hAnsi="Times New Roman"/>
          <w:i/>
          <w:iCs/>
        </w:rPr>
        <w:t xml:space="preserve">The Idea of Hegel’s Science of Logic, </w:t>
      </w:r>
      <w:r w:rsidRPr="00936B1C">
        <w:rPr>
          <w:rFonts w:ascii="Times New Roman" w:hAnsi="Times New Roman"/>
        </w:rPr>
        <w:t>21)</w:t>
      </w:r>
      <w:r>
        <w:rPr>
          <w:rFonts w:ascii="Times New Roman" w:hAnsi="Times New Roman"/>
        </w:rPr>
        <w:t xml:space="preserve"> is another example of a commentator on the Fichte-Hegel relationship that takes Fichte’s central contributions to be anticipated by the transcendental unity of apperception in Kant</w:t>
      </w:r>
      <w:r w:rsidRPr="00936B1C">
        <w:rPr>
          <w:rFonts w:ascii="Times New Roman" w:hAnsi="Times New Roman"/>
        </w:rPr>
        <w:t xml:space="preserve">: “Hegel’s view of the deficiencies of the Kantian-Fichtean doctrine can be illustrated by the synthetic unity of apperception. This is the unity of thinking that underlies the structure of necessary connections by which our experience is </w:t>
      </w:r>
      <w:proofErr w:type="gramStart"/>
      <w:r w:rsidRPr="00936B1C">
        <w:rPr>
          <w:rFonts w:ascii="Times New Roman" w:hAnsi="Times New Roman"/>
        </w:rPr>
        <w:t>constituted.”</w:t>
      </w:r>
      <w:proofErr w:type="gramEnd"/>
      <w:r w:rsidR="00F8526C">
        <w:rPr>
          <w:rFonts w:ascii="Times New Roman" w:hAnsi="Times New Roman"/>
        </w:rPr>
        <w:t xml:space="preserve"> While I will ultimately agree that there is a close connection between Fichte’s contribution and the apperception theme, I also contend that the conflation of their accounts conceals Fichte’s distinctive contribution, which resides in the theory of self-positing. </w:t>
      </w:r>
    </w:p>
  </w:footnote>
  <w:footnote w:id="4">
    <w:p w14:paraId="4DFE7DA7" w14:textId="0E9E941A" w:rsidR="00A302D7" w:rsidRPr="00936B1C" w:rsidRDefault="00A302D7" w:rsidP="00936B1C">
      <w:pPr>
        <w:pStyle w:val="FootnoteText"/>
        <w:jc w:val="both"/>
        <w:rPr>
          <w:rFonts w:ascii="Times New Roman" w:hAnsi="Times New Roman"/>
        </w:rPr>
      </w:pPr>
      <w:r w:rsidRPr="00936B1C">
        <w:rPr>
          <w:rStyle w:val="FootnoteReference"/>
          <w:rFonts w:ascii="Times New Roman" w:hAnsi="Times New Roman"/>
        </w:rPr>
        <w:footnoteRef/>
      </w:r>
      <w:r w:rsidRPr="00936B1C">
        <w:rPr>
          <w:rFonts w:ascii="Times New Roman" w:hAnsi="Times New Roman"/>
        </w:rPr>
        <w:t xml:space="preserve"> To illustrate the ubiquity of the Kantian perspective, consider Karen Ng’s recent </w:t>
      </w:r>
      <w:r w:rsidRPr="00936B1C">
        <w:rPr>
          <w:rFonts w:ascii="Times New Roman" w:hAnsi="Times New Roman"/>
          <w:i/>
          <w:iCs/>
        </w:rPr>
        <w:t xml:space="preserve">Hegel’s Concept of Life, </w:t>
      </w:r>
      <w:r w:rsidRPr="00936B1C">
        <w:rPr>
          <w:rFonts w:ascii="Times New Roman" w:hAnsi="Times New Roman"/>
        </w:rPr>
        <w:t xml:space="preserve">which contains an extensive interpretation of the </w:t>
      </w:r>
      <w:r w:rsidRPr="00936B1C">
        <w:rPr>
          <w:rFonts w:ascii="Times New Roman" w:hAnsi="Times New Roman"/>
          <w:i/>
          <w:iCs/>
        </w:rPr>
        <w:t xml:space="preserve">Differenzschrift. </w:t>
      </w:r>
      <w:r w:rsidRPr="00936B1C">
        <w:rPr>
          <w:rFonts w:ascii="Times New Roman" w:hAnsi="Times New Roman"/>
        </w:rPr>
        <w:t xml:space="preserve">While Ng’s contribution is in some sense a ‘Schellingian’ challenge to Pippin’s interpretation of the </w:t>
      </w:r>
      <w:r w:rsidRPr="00936B1C">
        <w:rPr>
          <w:rFonts w:ascii="Times New Roman" w:hAnsi="Times New Roman"/>
          <w:i/>
          <w:iCs/>
        </w:rPr>
        <w:t xml:space="preserve">Differenzschrift, </w:t>
      </w:r>
      <w:r w:rsidRPr="00936B1C">
        <w:rPr>
          <w:rFonts w:ascii="Times New Roman" w:hAnsi="Times New Roman"/>
        </w:rPr>
        <w:t xml:space="preserve">it also roots the interpretation of the book as a development of an essentially </w:t>
      </w:r>
      <w:r w:rsidRPr="00936B1C">
        <w:rPr>
          <w:rFonts w:ascii="Times New Roman" w:hAnsi="Times New Roman"/>
          <w:i/>
          <w:iCs/>
        </w:rPr>
        <w:t>Kantian</w:t>
      </w:r>
      <w:r w:rsidRPr="00936B1C">
        <w:rPr>
          <w:rFonts w:ascii="Times New Roman" w:hAnsi="Times New Roman"/>
        </w:rPr>
        <w:t xml:space="preserve"> idea, drawing on the third </w:t>
      </w:r>
      <w:r w:rsidRPr="00936B1C">
        <w:rPr>
          <w:rFonts w:ascii="Times New Roman" w:hAnsi="Times New Roman"/>
          <w:i/>
          <w:iCs/>
        </w:rPr>
        <w:t>Critique</w:t>
      </w:r>
      <w:r w:rsidRPr="00936B1C">
        <w:rPr>
          <w:rFonts w:ascii="Times New Roman" w:hAnsi="Times New Roman"/>
        </w:rPr>
        <w:t xml:space="preserve">’s conception of purposiveness rather than the first </w:t>
      </w:r>
      <w:r w:rsidRPr="00936B1C">
        <w:rPr>
          <w:rFonts w:ascii="Times New Roman" w:hAnsi="Times New Roman"/>
          <w:i/>
          <w:iCs/>
        </w:rPr>
        <w:t xml:space="preserve">Critique’s </w:t>
      </w:r>
      <w:r w:rsidRPr="00936B1C">
        <w:rPr>
          <w:rFonts w:ascii="Times New Roman" w:hAnsi="Times New Roman"/>
        </w:rPr>
        <w:t>account of transcendental apperception: “Speculative identity thus represents Hegel’s argumentative strategy for transforming Kant’s claim concerning the reciprocity between judgment and purposiveness into his own thesis concerning the reciprocity between self-consciousness and life” (63).</w:t>
      </w:r>
      <w:r>
        <w:rPr>
          <w:rFonts w:ascii="Times New Roman" w:hAnsi="Times New Roman"/>
        </w:rPr>
        <w:t xml:space="preserve"> Ng therefore also assimilates Fichte’s insight into a familiar Kantian framework, and in my view cannot account for the speculative dimension of self-positing that I here show that Hegel acknowledges in the </w:t>
      </w:r>
      <w:r>
        <w:rPr>
          <w:rFonts w:ascii="Times New Roman" w:hAnsi="Times New Roman"/>
          <w:i/>
          <w:iCs/>
        </w:rPr>
        <w:t xml:space="preserve">Differenzschrift. </w:t>
      </w:r>
    </w:p>
  </w:footnote>
  <w:footnote w:id="5">
    <w:p w14:paraId="5EFAE441" w14:textId="67EAF29D" w:rsidR="00A83920" w:rsidRPr="00A83920" w:rsidRDefault="00A83920" w:rsidP="00817B71">
      <w:pPr>
        <w:pStyle w:val="FootnoteText"/>
        <w:jc w:val="both"/>
        <w:rPr>
          <w:rFonts w:ascii="Times New Roman" w:hAnsi="Times New Roman"/>
        </w:rPr>
      </w:pPr>
      <w:r w:rsidRPr="00A83920">
        <w:rPr>
          <w:rStyle w:val="FootnoteReference"/>
          <w:rFonts w:ascii="Times New Roman" w:hAnsi="Times New Roman"/>
        </w:rPr>
        <w:footnoteRef/>
      </w:r>
      <w:r w:rsidRPr="00A83920">
        <w:rPr>
          <w:rFonts w:ascii="Times New Roman" w:hAnsi="Times New Roman"/>
        </w:rPr>
        <w:t xml:space="preserve"> Hegel (</w:t>
      </w:r>
      <w:r w:rsidRPr="00A83920">
        <w:rPr>
          <w:rFonts w:ascii="Times New Roman" w:hAnsi="Times New Roman"/>
          <w:i/>
          <w:iCs/>
        </w:rPr>
        <w:t xml:space="preserve">Science of Logic, </w:t>
      </w:r>
      <w:r w:rsidRPr="00A83920">
        <w:rPr>
          <w:rFonts w:ascii="Times New Roman" w:hAnsi="Times New Roman"/>
        </w:rPr>
        <w:t>514 |</w:t>
      </w:r>
      <w:r w:rsidRPr="00A83920">
        <w:rPr>
          <w:rFonts w:ascii="Times New Roman" w:hAnsi="Times New Roman"/>
          <w:i/>
          <w:iCs/>
        </w:rPr>
        <w:t xml:space="preserve"> GW</w:t>
      </w:r>
      <w:r w:rsidRPr="00A83920">
        <w:rPr>
          <w:rFonts w:ascii="Times New Roman" w:hAnsi="Times New Roman"/>
        </w:rPr>
        <w:t xml:space="preserve"> 12.17). “…The concept, when it has progressed to a concrete existence which is itself free, is none other than the ‘I’ or pure self-consciousnes</w:t>
      </w:r>
      <w:r w:rsidR="00817B71">
        <w:rPr>
          <w:rFonts w:ascii="Times New Roman" w:hAnsi="Times New Roman"/>
        </w:rPr>
        <w:t xml:space="preserve">s.” </w:t>
      </w:r>
      <w:r w:rsidR="00817B71">
        <w:rPr>
          <w:rFonts w:ascii="Times New Roman" w:hAnsi="Times New Roman"/>
          <w:i/>
          <w:iCs/>
        </w:rPr>
        <w:t xml:space="preserve">GW </w:t>
      </w:r>
      <w:r w:rsidR="00817B71">
        <w:rPr>
          <w:rFonts w:ascii="Times New Roman" w:hAnsi="Times New Roman"/>
        </w:rPr>
        <w:t xml:space="preserve">are citations to </w:t>
      </w:r>
      <w:r w:rsidR="00817B71" w:rsidRPr="00B05E04">
        <w:rPr>
          <w:rFonts w:ascii="Times New Roman" w:hAnsi="Times New Roman"/>
        </w:rPr>
        <w:t xml:space="preserve">G.W.F. Hegel’s </w:t>
      </w:r>
      <w:r w:rsidR="00817B71" w:rsidRPr="00B05E04">
        <w:rPr>
          <w:rFonts w:ascii="Times New Roman" w:hAnsi="Times New Roman"/>
          <w:i/>
          <w:iCs/>
        </w:rPr>
        <w:t>Gesammelte Werke</w:t>
      </w:r>
      <w:r w:rsidR="00817B71" w:rsidRPr="00B05E04">
        <w:rPr>
          <w:rFonts w:ascii="Times New Roman" w:hAnsi="Times New Roman"/>
        </w:rPr>
        <w:t xml:space="preserve"> ed. Walter Jaeschke in association with the</w:t>
      </w:r>
      <w:r w:rsidR="00817B71">
        <w:rPr>
          <w:rFonts w:ascii="Times New Roman" w:hAnsi="Times New Roman"/>
        </w:rPr>
        <w:t xml:space="preserve"> </w:t>
      </w:r>
      <w:r w:rsidR="00817B71" w:rsidRPr="00B05E04">
        <w:rPr>
          <w:rFonts w:ascii="Times New Roman" w:hAnsi="Times New Roman"/>
        </w:rPr>
        <w:t>Research Center for Classical German Philosophy.</w:t>
      </w:r>
    </w:p>
  </w:footnote>
  <w:footnote w:id="6">
    <w:p w14:paraId="18B05782" w14:textId="0F491289" w:rsidR="00C23D59" w:rsidRPr="00B05E04" w:rsidRDefault="00C23D59" w:rsidP="00B05E04">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w:t>
      </w:r>
      <w:r w:rsidRPr="009E4B11">
        <w:rPr>
          <w:rFonts w:ascii="Times New Roman" w:hAnsi="Times New Roman"/>
          <w:i/>
          <w:iCs/>
        </w:rPr>
        <w:t xml:space="preserve">Foundation of the Entire Wissenschaftslehre, </w:t>
      </w:r>
      <w:r w:rsidRPr="009E4B11">
        <w:rPr>
          <w:rFonts w:ascii="Times New Roman" w:hAnsi="Times New Roman"/>
        </w:rPr>
        <w:t xml:space="preserve">207 | </w:t>
      </w:r>
      <w:r w:rsidRPr="009E4B11">
        <w:rPr>
          <w:rFonts w:ascii="Times New Roman" w:hAnsi="Times New Roman"/>
          <w:i/>
          <w:iCs/>
        </w:rPr>
        <w:t>GA</w:t>
      </w:r>
      <w:r w:rsidRPr="009E4B11">
        <w:rPr>
          <w:rFonts w:ascii="Times New Roman" w:hAnsi="Times New Roman"/>
        </w:rPr>
        <w:t xml:space="preserve"> 2.264).</w:t>
      </w:r>
      <w:r w:rsidR="00B05E04">
        <w:rPr>
          <w:rFonts w:ascii="Times New Roman" w:hAnsi="Times New Roman"/>
        </w:rPr>
        <w:t xml:space="preserve"> </w:t>
      </w:r>
      <w:r w:rsidR="00B05E04">
        <w:rPr>
          <w:rFonts w:ascii="Times New Roman" w:hAnsi="Times New Roman"/>
          <w:i/>
          <w:iCs/>
        </w:rPr>
        <w:t xml:space="preserve">GA </w:t>
      </w:r>
      <w:r w:rsidR="00B05E04">
        <w:rPr>
          <w:rFonts w:ascii="Times New Roman" w:hAnsi="Times New Roman"/>
        </w:rPr>
        <w:t>is a reference to Fichte</w:t>
      </w:r>
      <w:r w:rsidR="00B05E04" w:rsidRPr="00B05E04">
        <w:t xml:space="preserve"> </w:t>
      </w:r>
      <w:r w:rsidR="00B05E04" w:rsidRPr="00B05E04">
        <w:rPr>
          <w:rFonts w:ascii="Times New Roman" w:hAnsi="Times New Roman"/>
          <w:i/>
          <w:iCs/>
        </w:rPr>
        <w:t xml:space="preserve">Gesamtausgabe der </w:t>
      </w:r>
      <w:proofErr w:type="spellStart"/>
      <w:r w:rsidR="00B05E04" w:rsidRPr="00B05E04">
        <w:rPr>
          <w:rFonts w:ascii="Times New Roman" w:hAnsi="Times New Roman"/>
          <w:i/>
          <w:iCs/>
        </w:rPr>
        <w:t>Bayerischen</w:t>
      </w:r>
      <w:proofErr w:type="spellEnd"/>
      <w:r w:rsidR="00B05E04" w:rsidRPr="00B05E04">
        <w:rPr>
          <w:rFonts w:ascii="Times New Roman" w:hAnsi="Times New Roman"/>
          <w:i/>
          <w:iCs/>
        </w:rPr>
        <w:t xml:space="preserve"> Akademie der </w:t>
      </w:r>
      <w:proofErr w:type="spellStart"/>
      <w:r w:rsidR="00B05E04" w:rsidRPr="00B05E04">
        <w:rPr>
          <w:rFonts w:ascii="Times New Roman" w:hAnsi="Times New Roman"/>
          <w:i/>
          <w:iCs/>
        </w:rPr>
        <w:t>Wissenschaften</w:t>
      </w:r>
      <w:proofErr w:type="spellEnd"/>
      <w:r w:rsidR="00B05E04">
        <w:rPr>
          <w:rFonts w:ascii="Times New Roman" w:hAnsi="Times New Roman"/>
        </w:rPr>
        <w:t xml:space="preserve"> </w:t>
      </w:r>
      <w:r w:rsidR="00B05E04" w:rsidRPr="00B05E04">
        <w:rPr>
          <w:rFonts w:ascii="Times New Roman" w:hAnsi="Times New Roman"/>
        </w:rPr>
        <w:t>ed. Erich Fuchs, Hans Gliwitzky, Reinhard Lauth, and Peter K. Schneider.</w:t>
      </w:r>
    </w:p>
  </w:footnote>
  <w:footnote w:id="7">
    <w:p w14:paraId="4019E161" w14:textId="4CB964EA"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w:t>
      </w:r>
      <w:r w:rsidR="009E4B11">
        <w:rPr>
          <w:rFonts w:ascii="Times New Roman" w:hAnsi="Times New Roman"/>
        </w:rPr>
        <w:t xml:space="preserve">Schelling’s early philosophy is therefore oriented towards a synthesis of Spinozism and Fichte’s philosophy. This was not entirely an idiosyncrasy of Schelling’s, as </w:t>
      </w:r>
      <w:r w:rsidR="009E4B11" w:rsidRPr="00E17F63">
        <w:rPr>
          <w:rFonts w:ascii="Times New Roman" w:hAnsi="Times New Roman"/>
        </w:rPr>
        <w:t>Jacobi (</w:t>
      </w:r>
      <w:r w:rsidR="009E4B11">
        <w:rPr>
          <w:rFonts w:ascii="Times New Roman" w:hAnsi="Times New Roman"/>
        </w:rPr>
        <w:t>“Jacobi to Fichte,”</w:t>
      </w:r>
      <w:r w:rsidR="009E4B11" w:rsidRPr="00E17F63">
        <w:rPr>
          <w:rFonts w:ascii="Times New Roman" w:hAnsi="Times New Roman"/>
        </w:rPr>
        <w:t xml:space="preserve"> 502)</w:t>
      </w:r>
      <w:r w:rsidR="009E4B11">
        <w:rPr>
          <w:rFonts w:ascii="Times New Roman" w:hAnsi="Times New Roman"/>
        </w:rPr>
        <w:t xml:space="preserve"> for example also interprets Fichte through the lens of Spinoza</w:t>
      </w:r>
      <w:r w:rsidR="009E4B11" w:rsidRPr="00E17F63">
        <w:rPr>
          <w:rFonts w:ascii="Times New Roman" w:hAnsi="Times New Roman"/>
        </w:rPr>
        <w:t xml:space="preserve">: “I first found entry into the </w:t>
      </w:r>
      <w:r w:rsidR="009E4B11" w:rsidRPr="00E17F63">
        <w:rPr>
          <w:rFonts w:ascii="Times New Roman" w:hAnsi="Times New Roman"/>
          <w:i/>
          <w:iCs/>
        </w:rPr>
        <w:t>Doctrine of Science</w:t>
      </w:r>
      <w:r w:rsidR="009E4B11" w:rsidRPr="00E17F63">
        <w:rPr>
          <w:rFonts w:ascii="Times New Roman" w:hAnsi="Times New Roman"/>
        </w:rPr>
        <w:t xml:space="preserve"> [</w:t>
      </w:r>
      <w:r w:rsidR="009E4B11" w:rsidRPr="00E17F63">
        <w:rPr>
          <w:rFonts w:ascii="Times New Roman" w:hAnsi="Times New Roman"/>
          <w:i/>
          <w:iCs/>
        </w:rPr>
        <w:t>Wissenschaftslehre</w:t>
      </w:r>
      <w:r w:rsidR="009E4B11" w:rsidRPr="00E17F63">
        <w:rPr>
          <w:rFonts w:ascii="Times New Roman" w:hAnsi="Times New Roman"/>
        </w:rPr>
        <w:t>]</w:t>
      </w:r>
      <w:r w:rsidR="009E4B11" w:rsidRPr="00E17F63">
        <w:rPr>
          <w:rFonts w:ascii="Times New Roman" w:hAnsi="Times New Roman"/>
          <w:i/>
          <w:iCs/>
        </w:rPr>
        <w:t xml:space="preserve"> </w:t>
      </w:r>
      <w:r w:rsidR="009E4B11" w:rsidRPr="00E17F63">
        <w:rPr>
          <w:rFonts w:ascii="Times New Roman" w:hAnsi="Times New Roman"/>
        </w:rPr>
        <w:t xml:space="preserve">through the representation of an </w:t>
      </w:r>
      <w:r w:rsidR="009E4B11" w:rsidRPr="00E17F63">
        <w:rPr>
          <w:rFonts w:ascii="Times New Roman" w:hAnsi="Times New Roman"/>
          <w:i/>
          <w:iCs/>
        </w:rPr>
        <w:t xml:space="preserve">inverted </w:t>
      </w:r>
      <w:r w:rsidR="009E4B11" w:rsidRPr="00E17F63">
        <w:rPr>
          <w:rFonts w:ascii="Times New Roman" w:hAnsi="Times New Roman"/>
        </w:rPr>
        <w:t>Spinozism.”</w:t>
      </w:r>
      <w:r w:rsidR="009E4B11">
        <w:rPr>
          <w:rFonts w:ascii="Times New Roman" w:hAnsi="Times New Roman"/>
        </w:rPr>
        <w:t xml:space="preserve"> Following this lead, Schelling tries to develop an interpretation of Fichtean self-positing modeled on Spinozistic </w:t>
      </w:r>
      <w:r w:rsidR="009E4B11">
        <w:rPr>
          <w:rFonts w:ascii="Times New Roman" w:hAnsi="Times New Roman"/>
          <w:i/>
          <w:iCs/>
        </w:rPr>
        <w:t xml:space="preserve">causa sui. </w:t>
      </w:r>
      <w:r w:rsidR="009E4B11">
        <w:rPr>
          <w:rFonts w:ascii="Times New Roman" w:hAnsi="Times New Roman"/>
        </w:rPr>
        <w:t xml:space="preserve">See especially </w:t>
      </w:r>
      <w:r w:rsidR="009E4B11" w:rsidRPr="00E17F63">
        <w:rPr>
          <w:rFonts w:ascii="Times New Roman" w:hAnsi="Times New Roman"/>
        </w:rPr>
        <w:t>Schelling (</w:t>
      </w:r>
      <w:r w:rsidR="009E4B11">
        <w:rPr>
          <w:rFonts w:ascii="Times New Roman" w:hAnsi="Times New Roman"/>
        </w:rPr>
        <w:t>“Of the I as Principle of Philosophy,”</w:t>
      </w:r>
      <w:r w:rsidR="009E4B11" w:rsidRPr="00E17F63">
        <w:rPr>
          <w:rFonts w:ascii="Times New Roman" w:hAnsi="Times New Roman"/>
        </w:rPr>
        <w:t xml:space="preserve"> 45-6).</w:t>
      </w:r>
    </w:p>
  </w:footnote>
  <w:footnote w:id="8">
    <w:p w14:paraId="3BE82732"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w:t>
      </w:r>
      <w:r w:rsidRPr="009E4B11">
        <w:rPr>
          <w:rFonts w:ascii="Times New Roman" w:hAnsi="Times New Roman"/>
          <w:i/>
          <w:iCs/>
        </w:rPr>
        <w:t xml:space="preserve">An Attempt at a New Presentation of the Wissenschaftslehre, </w:t>
      </w:r>
      <w:r w:rsidRPr="009E4B11">
        <w:rPr>
          <w:rFonts w:ascii="Times New Roman" w:hAnsi="Times New Roman"/>
        </w:rPr>
        <w:t xml:space="preserve">59 | </w:t>
      </w:r>
      <w:r w:rsidRPr="009E4B11">
        <w:rPr>
          <w:rFonts w:ascii="Times New Roman" w:hAnsi="Times New Roman"/>
          <w:i/>
          <w:iCs/>
        </w:rPr>
        <w:t xml:space="preserve">GA </w:t>
      </w:r>
      <w:r w:rsidRPr="009E4B11">
        <w:rPr>
          <w:rFonts w:ascii="Times New Roman" w:hAnsi="Times New Roman"/>
        </w:rPr>
        <w:t xml:space="preserve">4.227): “What then is the overall gist of the </w:t>
      </w:r>
      <w:r w:rsidRPr="009E4B11">
        <w:rPr>
          <w:rFonts w:ascii="Times New Roman" w:hAnsi="Times New Roman"/>
          <w:i/>
          <w:iCs/>
        </w:rPr>
        <w:t>Wissenschaftslehre</w:t>
      </w:r>
      <w:r w:rsidRPr="009E4B11">
        <w:rPr>
          <w:rFonts w:ascii="Times New Roman" w:hAnsi="Times New Roman"/>
        </w:rPr>
        <w:t xml:space="preserve">, summarized in a few words? It is this: Reason is absolutely </w:t>
      </w:r>
      <w:proofErr w:type="gramStart"/>
      <w:r w:rsidRPr="009E4B11">
        <w:rPr>
          <w:rFonts w:ascii="Times New Roman" w:hAnsi="Times New Roman"/>
        </w:rPr>
        <w:t>self-sufficient,</w:t>
      </w:r>
      <w:proofErr w:type="gramEnd"/>
      <w:r w:rsidRPr="009E4B11">
        <w:rPr>
          <w:rFonts w:ascii="Times New Roman" w:hAnsi="Times New Roman"/>
        </w:rPr>
        <w:t xml:space="preserve"> it exists only for itself.”</w:t>
      </w:r>
    </w:p>
  </w:footnote>
  <w:footnote w:id="9">
    <w:p w14:paraId="00AC0D2D" w14:textId="77777777" w:rsidR="00733CE4" w:rsidRDefault="00E95700" w:rsidP="00733CE4">
      <w:pPr>
        <w:pStyle w:val="FootnoteText"/>
        <w:rPr>
          <w:rFonts w:ascii="Times New Roman" w:hAnsi="Times New Roman"/>
        </w:rPr>
      </w:pPr>
      <w:r w:rsidRPr="009E4B11">
        <w:rPr>
          <w:rStyle w:val="FootnoteReference"/>
          <w:rFonts w:ascii="Times New Roman" w:hAnsi="Times New Roman"/>
        </w:rPr>
        <w:footnoteRef/>
      </w:r>
      <w:r w:rsidR="00733CE4">
        <w:rPr>
          <w:rFonts w:ascii="Times New Roman" w:hAnsi="Times New Roman"/>
        </w:rPr>
        <w:t xml:space="preserve"> Schelling (</w:t>
      </w:r>
      <w:r w:rsidR="00733CE4">
        <w:rPr>
          <w:rFonts w:ascii="Times New Roman" w:hAnsi="Times New Roman"/>
          <w:i/>
          <w:iCs/>
        </w:rPr>
        <w:t xml:space="preserve">System of Transcendental Idealism, </w:t>
      </w:r>
      <w:r w:rsidR="00733CE4">
        <w:rPr>
          <w:rFonts w:ascii="Times New Roman" w:hAnsi="Times New Roman"/>
        </w:rPr>
        <w:t xml:space="preserve">2): </w:t>
      </w:r>
    </w:p>
    <w:p w14:paraId="1344773E" w14:textId="77777777" w:rsidR="00733CE4" w:rsidRDefault="00733CE4" w:rsidP="00733CE4">
      <w:pPr>
        <w:pStyle w:val="FootnoteText"/>
        <w:rPr>
          <w:rFonts w:ascii="Times New Roman" w:hAnsi="Times New Roman"/>
        </w:rPr>
      </w:pPr>
    </w:p>
    <w:p w14:paraId="31D6DEE8" w14:textId="638227F9" w:rsidR="00E95700" w:rsidRPr="00733CE4" w:rsidRDefault="00733CE4" w:rsidP="00733CE4">
      <w:pPr>
        <w:pStyle w:val="FootnoteText"/>
        <w:ind w:left="720" w:right="720"/>
        <w:rPr>
          <w:rFonts w:ascii="Times New Roman" w:hAnsi="Times New Roman"/>
        </w:rPr>
      </w:pPr>
      <w:r w:rsidRPr="00733CE4">
        <w:rPr>
          <w:rFonts w:ascii="Times New Roman" w:hAnsi="Times New Roman"/>
        </w:rPr>
        <w:t>The author's chief motive for</w:t>
      </w:r>
      <w:r>
        <w:rPr>
          <w:rFonts w:ascii="Times New Roman" w:hAnsi="Times New Roman"/>
        </w:rPr>
        <w:t xml:space="preserve"> </w:t>
      </w:r>
      <w:r w:rsidRPr="00733CE4">
        <w:rPr>
          <w:rFonts w:ascii="Times New Roman" w:hAnsi="Times New Roman"/>
        </w:rPr>
        <w:t>devoting particular care to the depiction of this coherence, which is</w:t>
      </w:r>
      <w:r>
        <w:rPr>
          <w:rFonts w:ascii="Times New Roman" w:hAnsi="Times New Roman"/>
        </w:rPr>
        <w:t xml:space="preserve"> </w:t>
      </w:r>
      <w:r w:rsidRPr="00733CE4">
        <w:rPr>
          <w:rFonts w:ascii="Times New Roman" w:hAnsi="Times New Roman"/>
        </w:rPr>
        <w:t>really a graduated sequence of intuitions, whereby the self raises</w:t>
      </w:r>
      <w:r>
        <w:rPr>
          <w:rFonts w:ascii="Times New Roman" w:hAnsi="Times New Roman"/>
        </w:rPr>
        <w:t xml:space="preserve"> </w:t>
      </w:r>
      <w:r w:rsidRPr="00733CE4">
        <w:rPr>
          <w:rFonts w:ascii="Times New Roman" w:hAnsi="Times New Roman"/>
        </w:rPr>
        <w:t>itself to the highest power of consciousness, was the parallelism of</w:t>
      </w:r>
      <w:r>
        <w:rPr>
          <w:rFonts w:ascii="Times New Roman" w:hAnsi="Times New Roman"/>
        </w:rPr>
        <w:t xml:space="preserve"> </w:t>
      </w:r>
      <w:r w:rsidRPr="00733CE4">
        <w:rPr>
          <w:rFonts w:ascii="Times New Roman" w:hAnsi="Times New Roman"/>
        </w:rPr>
        <w:t>nature with intelligence; to this he has long since been led, and to</w:t>
      </w:r>
      <w:r>
        <w:rPr>
          <w:rFonts w:ascii="Times New Roman" w:hAnsi="Times New Roman"/>
        </w:rPr>
        <w:t xml:space="preserve"> </w:t>
      </w:r>
      <w:r w:rsidRPr="00733CE4">
        <w:rPr>
          <w:rFonts w:ascii="Times New Roman" w:hAnsi="Times New Roman"/>
        </w:rPr>
        <w:t>depict it completely, neither transcendental philosophy nor the philosophy</w:t>
      </w:r>
      <w:r>
        <w:rPr>
          <w:rFonts w:ascii="Times New Roman" w:hAnsi="Times New Roman"/>
        </w:rPr>
        <w:t xml:space="preserve"> </w:t>
      </w:r>
      <w:r w:rsidRPr="00733CE4">
        <w:rPr>
          <w:rFonts w:ascii="Times New Roman" w:hAnsi="Times New Roman"/>
        </w:rPr>
        <w:t>of nature is adequate by itself; both sciences together are</w:t>
      </w:r>
      <w:r>
        <w:rPr>
          <w:rFonts w:ascii="Times New Roman" w:hAnsi="Times New Roman"/>
        </w:rPr>
        <w:t xml:space="preserve"> </w:t>
      </w:r>
      <w:r w:rsidRPr="00733CE4">
        <w:rPr>
          <w:rFonts w:ascii="Times New Roman" w:hAnsi="Times New Roman"/>
        </w:rPr>
        <w:t>alone able to do it, though on that very account the two must forever</w:t>
      </w:r>
      <w:r>
        <w:rPr>
          <w:rFonts w:ascii="Times New Roman" w:hAnsi="Times New Roman"/>
        </w:rPr>
        <w:t xml:space="preserve"> </w:t>
      </w:r>
      <w:r w:rsidRPr="00733CE4">
        <w:rPr>
          <w:rFonts w:ascii="Times New Roman" w:hAnsi="Times New Roman"/>
        </w:rPr>
        <w:t>be opposed to one another, and can never merge into one.</w:t>
      </w:r>
    </w:p>
  </w:footnote>
  <w:footnote w:id="10">
    <w:p w14:paraId="543484A7" w14:textId="5F11C70F" w:rsidR="00C23D59" w:rsidRPr="00B05E04" w:rsidRDefault="00C23D59" w:rsidP="00B05E04">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82 | </w:t>
      </w:r>
      <w:r w:rsidRPr="009E4B11">
        <w:rPr>
          <w:rFonts w:ascii="Times New Roman" w:hAnsi="Times New Roman"/>
          <w:i/>
          <w:iCs/>
        </w:rPr>
        <w:t xml:space="preserve">GW </w:t>
      </w:r>
      <w:r w:rsidRPr="009E4B11">
        <w:rPr>
          <w:rFonts w:ascii="Times New Roman" w:hAnsi="Times New Roman"/>
        </w:rPr>
        <w:t>4.7).</w:t>
      </w:r>
      <w:r w:rsidR="00B05E04">
        <w:rPr>
          <w:rFonts w:ascii="Times New Roman" w:hAnsi="Times New Roman"/>
        </w:rPr>
        <w:t xml:space="preserve"> </w:t>
      </w:r>
    </w:p>
  </w:footnote>
  <w:footnote w:id="11">
    <w:p w14:paraId="7DD1CC30"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89 | </w:t>
      </w:r>
      <w:r w:rsidRPr="009E4B11">
        <w:rPr>
          <w:rFonts w:ascii="Times New Roman" w:hAnsi="Times New Roman"/>
          <w:i/>
          <w:iCs/>
        </w:rPr>
        <w:t xml:space="preserve">GW </w:t>
      </w:r>
      <w:r w:rsidRPr="009E4B11">
        <w:rPr>
          <w:rFonts w:ascii="Times New Roman" w:hAnsi="Times New Roman"/>
        </w:rPr>
        <w:t>4.12).</w:t>
      </w:r>
    </w:p>
  </w:footnote>
  <w:footnote w:id="12">
    <w:p w14:paraId="74933F40" w14:textId="2ADCC0AC" w:rsidR="00C23D59" w:rsidRPr="00FC5567" w:rsidRDefault="00C23D59" w:rsidP="00FC5567">
      <w:pPr>
        <w:pStyle w:val="FootnoteText"/>
        <w:jc w:val="both"/>
        <w:rPr>
          <w:rFonts w:ascii="Times New Roman" w:hAnsi="Times New Roman"/>
          <w:iCs/>
        </w:rPr>
      </w:pPr>
      <w:r w:rsidRPr="009E4B11">
        <w:rPr>
          <w:rStyle w:val="FootnoteReference"/>
          <w:rFonts w:ascii="Times New Roman" w:hAnsi="Times New Roman"/>
        </w:rPr>
        <w:footnoteRef/>
      </w:r>
      <w:r w:rsidRPr="009E4B11">
        <w:rPr>
          <w:rFonts w:ascii="Times New Roman" w:hAnsi="Times New Roman"/>
        </w:rPr>
        <w:t xml:space="preserve"> Kant (</w:t>
      </w:r>
      <w:r w:rsidRPr="009E4B11">
        <w:rPr>
          <w:rFonts w:ascii="Times New Roman" w:hAnsi="Times New Roman"/>
          <w:i/>
          <w:iCs/>
        </w:rPr>
        <w:t xml:space="preserve">Critique of Pure Reason, </w:t>
      </w:r>
      <w:r w:rsidRPr="009E4B11">
        <w:rPr>
          <w:rFonts w:ascii="Times New Roman" w:hAnsi="Times New Roman"/>
        </w:rPr>
        <w:t xml:space="preserve">264 | </w:t>
      </w:r>
      <w:r w:rsidRPr="009E4B11">
        <w:rPr>
          <w:rFonts w:ascii="Times New Roman" w:hAnsi="Times New Roman"/>
          <w:i/>
          <w:iCs/>
        </w:rPr>
        <w:t xml:space="preserve">AK </w:t>
      </w:r>
      <w:r w:rsidRPr="009E4B11">
        <w:rPr>
          <w:rFonts w:ascii="Times New Roman" w:hAnsi="Times New Roman"/>
        </w:rPr>
        <w:t xml:space="preserve">B166): “We cannot </w:t>
      </w:r>
      <w:r w:rsidRPr="009E4B11">
        <w:rPr>
          <w:rFonts w:ascii="Times New Roman" w:hAnsi="Times New Roman"/>
          <w:b/>
          <w:bCs/>
        </w:rPr>
        <w:t xml:space="preserve">think </w:t>
      </w:r>
      <w:r w:rsidRPr="009E4B11">
        <w:rPr>
          <w:rFonts w:ascii="Times New Roman" w:hAnsi="Times New Roman"/>
        </w:rPr>
        <w:t xml:space="preserve">any object except through categories; we cannot </w:t>
      </w:r>
      <w:r w:rsidRPr="009E4B11">
        <w:rPr>
          <w:rFonts w:ascii="Times New Roman" w:hAnsi="Times New Roman"/>
          <w:b/>
          <w:bCs/>
        </w:rPr>
        <w:t xml:space="preserve">cognize </w:t>
      </w:r>
      <w:r w:rsidRPr="009E4B11">
        <w:rPr>
          <w:rFonts w:ascii="Times New Roman" w:hAnsi="Times New Roman"/>
        </w:rPr>
        <w:t xml:space="preserve">any object that is thought except through intuitions that correspond to those concepts. Now, all our intuitions are sensible, and this cognition, so far as its object is given, is empirical. Empirical cognition, however, is experience. Consequently, </w:t>
      </w:r>
      <w:r w:rsidRPr="009E4B11">
        <w:rPr>
          <w:rFonts w:ascii="Times New Roman" w:hAnsi="Times New Roman"/>
          <w:b/>
          <w:bCs/>
        </w:rPr>
        <w:t xml:space="preserve">no </w:t>
      </w:r>
      <w:r w:rsidRPr="009E4B11">
        <w:rPr>
          <w:rFonts w:ascii="Times New Roman" w:hAnsi="Times New Roman"/>
          <w:b/>
          <w:bCs/>
          <w:i/>
          <w:iCs/>
        </w:rPr>
        <w:t xml:space="preserve">a priori </w:t>
      </w:r>
      <w:r w:rsidRPr="009E4B11">
        <w:rPr>
          <w:rFonts w:ascii="Times New Roman" w:hAnsi="Times New Roman"/>
        </w:rPr>
        <w:t xml:space="preserve">cognition is possible for us except solely objects of possible </w:t>
      </w:r>
      <w:proofErr w:type="gramStart"/>
      <w:r w:rsidRPr="009E4B11">
        <w:rPr>
          <w:rFonts w:ascii="Times New Roman" w:hAnsi="Times New Roman"/>
        </w:rPr>
        <w:t>experience.”</w:t>
      </w:r>
      <w:proofErr w:type="gramEnd"/>
      <w:r w:rsidR="00FC5567">
        <w:rPr>
          <w:rFonts w:ascii="Times New Roman" w:hAnsi="Times New Roman"/>
        </w:rPr>
        <w:t xml:space="preserve"> </w:t>
      </w:r>
      <w:r w:rsidR="00FC5567">
        <w:rPr>
          <w:rFonts w:ascii="Times New Roman" w:hAnsi="Times New Roman"/>
          <w:i/>
          <w:iCs/>
        </w:rPr>
        <w:t xml:space="preserve">AK </w:t>
      </w:r>
      <w:r w:rsidR="00FC5567">
        <w:rPr>
          <w:rFonts w:ascii="Times New Roman" w:hAnsi="Times New Roman"/>
          <w:iCs/>
        </w:rPr>
        <w:t xml:space="preserve">are citations to </w:t>
      </w:r>
      <w:r w:rsidR="00FC5567" w:rsidRPr="00FC5567">
        <w:rPr>
          <w:rFonts w:ascii="Times New Roman" w:hAnsi="Times New Roman"/>
          <w:iCs/>
        </w:rPr>
        <w:t xml:space="preserve">Immanuel Kant’s </w:t>
      </w:r>
      <w:r w:rsidR="00FC5567" w:rsidRPr="00FC5567">
        <w:rPr>
          <w:rFonts w:ascii="Times New Roman" w:hAnsi="Times New Roman"/>
          <w:i/>
        </w:rPr>
        <w:t>Gesammelte Schriften</w:t>
      </w:r>
      <w:r w:rsidR="00FC5567" w:rsidRPr="00FC5567">
        <w:rPr>
          <w:rFonts w:ascii="Times New Roman" w:hAnsi="Times New Roman"/>
          <w:iCs/>
        </w:rPr>
        <w:t xml:space="preserve"> ed. by the Royal Prussian Academy of the</w:t>
      </w:r>
      <w:r w:rsidR="00FC5567">
        <w:rPr>
          <w:rFonts w:ascii="Times New Roman" w:hAnsi="Times New Roman"/>
          <w:iCs/>
        </w:rPr>
        <w:t xml:space="preserve"> </w:t>
      </w:r>
      <w:r w:rsidR="00FC5567" w:rsidRPr="00FC5567">
        <w:rPr>
          <w:rFonts w:ascii="Times New Roman" w:hAnsi="Times New Roman"/>
          <w:iCs/>
        </w:rPr>
        <w:t>Sciences.</w:t>
      </w:r>
    </w:p>
  </w:footnote>
  <w:footnote w:id="13">
    <w:p w14:paraId="4FEE7728"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Kant (</w:t>
      </w:r>
      <w:r w:rsidRPr="009E4B11">
        <w:rPr>
          <w:rFonts w:ascii="Times New Roman" w:hAnsi="Times New Roman"/>
          <w:i/>
          <w:iCs/>
        </w:rPr>
        <w:t xml:space="preserve">Critique of Pure Reason, </w:t>
      </w:r>
      <w:r w:rsidRPr="009E4B11">
        <w:rPr>
          <w:rFonts w:ascii="Times New Roman" w:hAnsi="Times New Roman"/>
        </w:rPr>
        <w:t xml:space="preserve">386 | </w:t>
      </w:r>
      <w:r w:rsidRPr="009E4B11">
        <w:rPr>
          <w:rFonts w:ascii="Times New Roman" w:hAnsi="Times New Roman"/>
          <w:i/>
          <w:iCs/>
        </w:rPr>
        <w:t xml:space="preserve">AK </w:t>
      </w:r>
      <w:r w:rsidRPr="009E4B11">
        <w:rPr>
          <w:rFonts w:ascii="Times New Roman" w:hAnsi="Times New Roman"/>
        </w:rPr>
        <w:t xml:space="preserve">A298-299/B355). </w:t>
      </w:r>
    </w:p>
  </w:footnote>
  <w:footnote w:id="14">
    <w:p w14:paraId="0A5E0B95"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89 | </w:t>
      </w:r>
      <w:r w:rsidRPr="009E4B11">
        <w:rPr>
          <w:rFonts w:ascii="Times New Roman" w:hAnsi="Times New Roman"/>
          <w:i/>
          <w:iCs/>
        </w:rPr>
        <w:t xml:space="preserve">GW </w:t>
      </w:r>
      <w:r w:rsidRPr="009E4B11">
        <w:rPr>
          <w:rFonts w:ascii="Times New Roman" w:hAnsi="Times New Roman"/>
        </w:rPr>
        <w:t>4.12-3).</w:t>
      </w:r>
    </w:p>
  </w:footnote>
  <w:footnote w:id="15">
    <w:p w14:paraId="54EF02A2"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 xml:space="preserve">Phenomenology of Spirit, </w:t>
      </w:r>
      <w:r w:rsidRPr="009E4B11">
        <w:rPr>
          <w:rFonts w:ascii="Times New Roman" w:hAnsi="Times New Roman"/>
        </w:rPr>
        <w:t xml:space="preserve">49-59 | </w:t>
      </w:r>
      <w:r w:rsidRPr="009E4B11">
        <w:rPr>
          <w:rFonts w:ascii="Times New Roman" w:hAnsi="Times New Roman"/>
          <w:i/>
          <w:iCs/>
        </w:rPr>
        <w:t>GW</w:t>
      </w:r>
      <w:r w:rsidRPr="009E4B11">
        <w:rPr>
          <w:rFonts w:ascii="Times New Roman" w:hAnsi="Times New Roman"/>
        </w:rPr>
        <w:t xml:space="preserve"> 9.53-62) makes this point especially clear.</w:t>
      </w:r>
    </w:p>
  </w:footnote>
  <w:footnote w:id="16">
    <w:p w14:paraId="7044E0D5"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90-1 | </w:t>
      </w:r>
      <w:r w:rsidRPr="009E4B11">
        <w:rPr>
          <w:rFonts w:ascii="Times New Roman" w:hAnsi="Times New Roman"/>
          <w:i/>
          <w:iCs/>
        </w:rPr>
        <w:t xml:space="preserve">GW </w:t>
      </w:r>
      <w:r w:rsidRPr="009E4B11">
        <w:rPr>
          <w:rFonts w:ascii="Times New Roman" w:hAnsi="Times New Roman"/>
        </w:rPr>
        <w:t>4.13-4).</w:t>
      </w:r>
    </w:p>
  </w:footnote>
  <w:footnote w:id="17">
    <w:p w14:paraId="1D723F5F"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For a more elaborate treatment of the relationship between reason and the understanding in Hegel’s philosophy, see Johnston (</w:t>
      </w:r>
      <w:r w:rsidRPr="009E4B11">
        <w:rPr>
          <w:rFonts w:ascii="Times New Roman" w:hAnsi="Times New Roman"/>
          <w:i/>
          <w:iCs/>
        </w:rPr>
        <w:t xml:space="preserve">A New German Idealism, </w:t>
      </w:r>
      <w:r w:rsidRPr="009E4B11">
        <w:rPr>
          <w:rFonts w:ascii="Times New Roman" w:hAnsi="Times New Roman"/>
        </w:rPr>
        <w:t>xiv-xx)</w:t>
      </w:r>
    </w:p>
  </w:footnote>
  <w:footnote w:id="18">
    <w:p w14:paraId="42F5D9E2"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 xml:space="preserve">Encyclopedia Logic, </w:t>
      </w:r>
      <w:r w:rsidRPr="009E4B11">
        <w:rPr>
          <w:rFonts w:ascii="Times New Roman" w:hAnsi="Times New Roman"/>
        </w:rPr>
        <w:t xml:space="preserve">150 | </w:t>
      </w:r>
      <w:r w:rsidRPr="009E4B11">
        <w:rPr>
          <w:rFonts w:ascii="Times New Roman" w:hAnsi="Times New Roman"/>
          <w:i/>
          <w:iCs/>
        </w:rPr>
        <w:t xml:space="preserve">GW </w:t>
      </w:r>
      <w:r w:rsidRPr="009E4B11">
        <w:rPr>
          <w:rFonts w:ascii="Times New Roman" w:hAnsi="Times New Roman"/>
        </w:rPr>
        <w:t xml:space="preserve">20.131-2): </w:t>
      </w:r>
    </w:p>
    <w:p w14:paraId="6CB479AE" w14:textId="77777777" w:rsidR="00C23D59" w:rsidRPr="009E4B11" w:rsidRDefault="00C23D59" w:rsidP="00C23D59">
      <w:pPr>
        <w:pStyle w:val="FootnoteText"/>
        <w:jc w:val="both"/>
        <w:rPr>
          <w:rFonts w:ascii="Times New Roman" w:hAnsi="Times New Roman"/>
        </w:rPr>
      </w:pPr>
    </w:p>
    <w:p w14:paraId="70E2A15D" w14:textId="02407D6A" w:rsidR="00DB3A81" w:rsidRPr="009E4B11" w:rsidRDefault="00C23D59" w:rsidP="00936B1C">
      <w:pPr>
        <w:pStyle w:val="FootnoteText"/>
        <w:ind w:left="720" w:right="720"/>
        <w:jc w:val="both"/>
        <w:rPr>
          <w:rFonts w:ascii="Times New Roman" w:hAnsi="Times New Roman"/>
        </w:rPr>
      </w:pPr>
      <w:r w:rsidRPr="009E4B11">
        <w:rPr>
          <w:rFonts w:ascii="Times New Roman" w:hAnsi="Times New Roman"/>
        </w:rPr>
        <w:t xml:space="preserve">The dualism that makes the opposition of the finite and the infinite insuperable fails to make the simple observation that in this manner the infinite is at once only </w:t>
      </w:r>
      <w:r w:rsidRPr="009E4B11">
        <w:rPr>
          <w:rFonts w:ascii="Times New Roman" w:hAnsi="Times New Roman"/>
          <w:i/>
          <w:iCs/>
        </w:rPr>
        <w:t xml:space="preserve">one of the two, </w:t>
      </w:r>
      <w:r w:rsidRPr="009E4B11">
        <w:rPr>
          <w:rFonts w:ascii="Times New Roman" w:hAnsi="Times New Roman"/>
        </w:rPr>
        <w:t xml:space="preserve">that it is thus made into merely one </w:t>
      </w:r>
      <w:r w:rsidRPr="009E4B11">
        <w:rPr>
          <w:rFonts w:ascii="Times New Roman" w:hAnsi="Times New Roman"/>
          <w:i/>
          <w:iCs/>
        </w:rPr>
        <w:t xml:space="preserve">particular </w:t>
      </w:r>
      <w:r w:rsidRPr="009E4B11">
        <w:rPr>
          <w:rFonts w:ascii="Times New Roman" w:hAnsi="Times New Roman"/>
        </w:rPr>
        <w:t xml:space="preserve">for which the finite is the other particular. Such an infinite that is only a particular, </w:t>
      </w:r>
      <w:r w:rsidRPr="009E4B11">
        <w:rPr>
          <w:rFonts w:ascii="Times New Roman" w:hAnsi="Times New Roman"/>
          <w:i/>
          <w:iCs/>
        </w:rPr>
        <w:t xml:space="preserve">next </w:t>
      </w:r>
      <w:r w:rsidRPr="009E4B11">
        <w:rPr>
          <w:rFonts w:ascii="Times New Roman" w:hAnsi="Times New Roman"/>
        </w:rPr>
        <w:t xml:space="preserve">to the finite which makes up its boundary and limit, is </w:t>
      </w:r>
      <w:r w:rsidRPr="009E4B11">
        <w:rPr>
          <w:rFonts w:ascii="Times New Roman" w:hAnsi="Times New Roman"/>
          <w:i/>
          <w:iCs/>
        </w:rPr>
        <w:t xml:space="preserve">not </w:t>
      </w:r>
      <w:r w:rsidRPr="009E4B11">
        <w:rPr>
          <w:rFonts w:ascii="Times New Roman" w:hAnsi="Times New Roman"/>
        </w:rPr>
        <w:t>what it is supposed to be, not the infinite, but merely finite.</w:t>
      </w:r>
    </w:p>
  </w:footnote>
  <w:footnote w:id="19">
    <w:p w14:paraId="23C3D546"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91 | </w:t>
      </w:r>
      <w:r w:rsidRPr="009E4B11">
        <w:rPr>
          <w:rFonts w:ascii="Times New Roman" w:hAnsi="Times New Roman"/>
          <w:i/>
          <w:iCs/>
        </w:rPr>
        <w:t xml:space="preserve">GW </w:t>
      </w:r>
      <w:r w:rsidRPr="009E4B11">
        <w:rPr>
          <w:rFonts w:ascii="Times New Roman" w:hAnsi="Times New Roman"/>
        </w:rPr>
        <w:t>4.14).</w:t>
      </w:r>
    </w:p>
  </w:footnote>
  <w:footnote w:id="20">
    <w:p w14:paraId="2AD9A012"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Later on, Hegel will say that philosophy is the progressive development of </w:t>
      </w:r>
      <w:r w:rsidRPr="009E4B11">
        <w:rPr>
          <w:rFonts w:ascii="Times New Roman" w:hAnsi="Times New Roman"/>
          <w:i/>
          <w:iCs/>
        </w:rPr>
        <w:t xml:space="preserve">spirit’s </w:t>
      </w:r>
      <w:r w:rsidRPr="009E4B11">
        <w:rPr>
          <w:rFonts w:ascii="Times New Roman" w:hAnsi="Times New Roman"/>
        </w:rPr>
        <w:t>self-consciousness. But it is beyond the scope of this section to examine Hegel’s later-developed account of spirit in detail.</w:t>
      </w:r>
    </w:p>
  </w:footnote>
  <w:footnote w:id="21">
    <w:p w14:paraId="79DE8A82"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93-4 | </w:t>
      </w:r>
      <w:r w:rsidRPr="009E4B11">
        <w:rPr>
          <w:rFonts w:ascii="Times New Roman" w:hAnsi="Times New Roman"/>
          <w:i/>
          <w:iCs/>
        </w:rPr>
        <w:t xml:space="preserve">GW </w:t>
      </w:r>
      <w:r w:rsidRPr="009E4B11">
        <w:rPr>
          <w:rFonts w:ascii="Times New Roman" w:hAnsi="Times New Roman"/>
        </w:rPr>
        <w:t>4.15-6).</w:t>
      </w:r>
    </w:p>
  </w:footnote>
  <w:footnote w:id="22">
    <w:p w14:paraId="6974915D"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94 | </w:t>
      </w:r>
      <w:r w:rsidRPr="009E4B11">
        <w:rPr>
          <w:rFonts w:ascii="Times New Roman" w:hAnsi="Times New Roman"/>
          <w:i/>
          <w:iCs/>
        </w:rPr>
        <w:t xml:space="preserve">GW </w:t>
      </w:r>
      <w:r w:rsidRPr="009E4B11">
        <w:rPr>
          <w:rFonts w:ascii="Times New Roman" w:hAnsi="Times New Roman"/>
        </w:rPr>
        <w:t>4.16).</w:t>
      </w:r>
    </w:p>
  </w:footnote>
  <w:footnote w:id="23">
    <w:p w14:paraId="37F98B9B"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80 | </w:t>
      </w:r>
      <w:r w:rsidRPr="009E4B11">
        <w:rPr>
          <w:rFonts w:ascii="Times New Roman" w:hAnsi="Times New Roman"/>
          <w:i/>
          <w:iCs/>
        </w:rPr>
        <w:t xml:space="preserve">GW </w:t>
      </w:r>
      <w:r w:rsidRPr="009E4B11">
        <w:rPr>
          <w:rFonts w:ascii="Times New Roman" w:hAnsi="Times New Roman"/>
        </w:rPr>
        <w:t>4.6).</w:t>
      </w:r>
    </w:p>
  </w:footnote>
  <w:footnote w:id="24">
    <w:p w14:paraId="7B6D8595"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82 | </w:t>
      </w:r>
      <w:r w:rsidRPr="009E4B11">
        <w:rPr>
          <w:rFonts w:ascii="Times New Roman" w:hAnsi="Times New Roman"/>
          <w:i/>
          <w:iCs/>
        </w:rPr>
        <w:t xml:space="preserve">GW </w:t>
      </w:r>
      <w:r w:rsidRPr="009E4B11">
        <w:rPr>
          <w:rFonts w:ascii="Times New Roman" w:hAnsi="Times New Roman"/>
        </w:rPr>
        <w:t xml:space="preserve">4.7). </w:t>
      </w:r>
    </w:p>
  </w:footnote>
  <w:footnote w:id="25">
    <w:p w14:paraId="33AAA1E3"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79 | </w:t>
      </w:r>
      <w:r w:rsidRPr="009E4B11">
        <w:rPr>
          <w:rFonts w:ascii="Times New Roman" w:hAnsi="Times New Roman"/>
          <w:i/>
          <w:iCs/>
        </w:rPr>
        <w:t xml:space="preserve">GW </w:t>
      </w:r>
      <w:r w:rsidRPr="009E4B11">
        <w:rPr>
          <w:rFonts w:ascii="Times New Roman" w:hAnsi="Times New Roman"/>
        </w:rPr>
        <w:t>4.5).</w:t>
      </w:r>
    </w:p>
  </w:footnote>
  <w:footnote w:id="26">
    <w:p w14:paraId="34114593"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81 | </w:t>
      </w:r>
      <w:r w:rsidRPr="009E4B11">
        <w:rPr>
          <w:rFonts w:ascii="Times New Roman" w:hAnsi="Times New Roman"/>
          <w:i/>
          <w:iCs/>
        </w:rPr>
        <w:t xml:space="preserve">GW </w:t>
      </w:r>
      <w:r w:rsidRPr="009E4B11">
        <w:rPr>
          <w:rFonts w:ascii="Times New Roman" w:hAnsi="Times New Roman"/>
        </w:rPr>
        <w:t>4.6).</w:t>
      </w:r>
    </w:p>
  </w:footnote>
  <w:footnote w:id="27">
    <w:p w14:paraId="15A6F684"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80 | </w:t>
      </w:r>
      <w:r w:rsidRPr="009E4B11">
        <w:rPr>
          <w:rFonts w:ascii="Times New Roman" w:hAnsi="Times New Roman"/>
          <w:i/>
          <w:iCs/>
        </w:rPr>
        <w:t xml:space="preserve">GW </w:t>
      </w:r>
      <w:r w:rsidRPr="009E4B11">
        <w:rPr>
          <w:rFonts w:ascii="Times New Roman" w:hAnsi="Times New Roman"/>
        </w:rPr>
        <w:t>4.5).</w:t>
      </w:r>
    </w:p>
  </w:footnote>
  <w:footnote w:id="28">
    <w:p w14:paraId="414BDED3"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80 | </w:t>
      </w:r>
      <w:r w:rsidRPr="009E4B11">
        <w:rPr>
          <w:rFonts w:ascii="Times New Roman" w:hAnsi="Times New Roman"/>
          <w:i/>
          <w:iCs/>
        </w:rPr>
        <w:t xml:space="preserve">GW </w:t>
      </w:r>
      <w:r w:rsidRPr="009E4B11">
        <w:rPr>
          <w:rFonts w:ascii="Times New Roman" w:hAnsi="Times New Roman"/>
        </w:rPr>
        <w:t>4.5).</w:t>
      </w:r>
    </w:p>
  </w:footnote>
  <w:footnote w:id="29">
    <w:p w14:paraId="16B01953"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80 | </w:t>
      </w:r>
      <w:r w:rsidRPr="009E4B11">
        <w:rPr>
          <w:rFonts w:ascii="Times New Roman" w:hAnsi="Times New Roman"/>
          <w:i/>
          <w:iCs/>
        </w:rPr>
        <w:t xml:space="preserve">GW </w:t>
      </w:r>
      <w:r w:rsidRPr="009E4B11">
        <w:rPr>
          <w:rFonts w:ascii="Times New Roman" w:hAnsi="Times New Roman"/>
        </w:rPr>
        <w:t>4.5).</w:t>
      </w:r>
    </w:p>
  </w:footnote>
  <w:footnote w:id="30">
    <w:p w14:paraId="7CC8425E"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80 | </w:t>
      </w:r>
      <w:r w:rsidRPr="009E4B11">
        <w:rPr>
          <w:rFonts w:ascii="Times New Roman" w:hAnsi="Times New Roman"/>
          <w:i/>
          <w:iCs/>
        </w:rPr>
        <w:t xml:space="preserve">GW </w:t>
      </w:r>
      <w:r w:rsidRPr="009E4B11">
        <w:rPr>
          <w:rFonts w:ascii="Times New Roman" w:hAnsi="Times New Roman"/>
        </w:rPr>
        <w:t>4.5).</w:t>
      </w:r>
    </w:p>
  </w:footnote>
  <w:footnote w:id="31">
    <w:p w14:paraId="0BD8D40B" w14:textId="77777777" w:rsidR="000B2347"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Kant (</w:t>
      </w:r>
      <w:r w:rsidRPr="009E4B11">
        <w:rPr>
          <w:rFonts w:ascii="Times New Roman" w:hAnsi="Times New Roman"/>
          <w:i/>
          <w:iCs/>
        </w:rPr>
        <w:t xml:space="preserve">Critique of Pure Reason, </w:t>
      </w:r>
      <w:r w:rsidRPr="009E4B11">
        <w:rPr>
          <w:rFonts w:ascii="Times New Roman" w:hAnsi="Times New Roman"/>
        </w:rPr>
        <w:t xml:space="preserve">209 | </w:t>
      </w:r>
      <w:r w:rsidRPr="009E4B11">
        <w:rPr>
          <w:rFonts w:ascii="Times New Roman" w:hAnsi="Times New Roman"/>
          <w:i/>
          <w:iCs/>
        </w:rPr>
        <w:t xml:space="preserve">AK </w:t>
      </w:r>
      <w:r w:rsidRPr="009E4B11">
        <w:rPr>
          <w:rFonts w:ascii="Times New Roman" w:hAnsi="Times New Roman"/>
        </w:rPr>
        <w:t xml:space="preserve">A74/B100-101): </w:t>
      </w:r>
    </w:p>
    <w:p w14:paraId="1FFCE93B" w14:textId="77777777" w:rsidR="000B2347" w:rsidRDefault="000B2347" w:rsidP="00C23D59">
      <w:pPr>
        <w:pStyle w:val="FootnoteText"/>
        <w:jc w:val="both"/>
        <w:rPr>
          <w:rFonts w:ascii="Times New Roman" w:hAnsi="Times New Roman"/>
        </w:rPr>
      </w:pPr>
    </w:p>
    <w:p w14:paraId="29A6F959" w14:textId="561E9561" w:rsidR="00C23D59" w:rsidRDefault="00C23D59" w:rsidP="000B2347">
      <w:pPr>
        <w:pStyle w:val="FootnoteText"/>
        <w:ind w:left="720" w:right="720"/>
        <w:jc w:val="both"/>
        <w:rPr>
          <w:rFonts w:ascii="Times New Roman" w:hAnsi="Times New Roman"/>
        </w:rPr>
      </w:pPr>
      <w:r w:rsidRPr="009E4B11">
        <w:rPr>
          <w:rFonts w:ascii="Times New Roman" w:hAnsi="Times New Roman"/>
        </w:rPr>
        <w:t>The modality of judgments is a quite special function of them, which is distinctive in that it contributes nothing to the content of the judgment (for besides quantity, quality, and relation there is nothing more that constitutes the content of a judgment), but rather concerns the value of the copula in relation to thinking in general.</w:t>
      </w:r>
    </w:p>
    <w:p w14:paraId="58474814" w14:textId="77777777" w:rsidR="00936B1C" w:rsidRPr="009E4B11" w:rsidRDefault="00936B1C" w:rsidP="000B2347">
      <w:pPr>
        <w:pStyle w:val="FootnoteText"/>
        <w:ind w:left="720" w:right="720"/>
        <w:jc w:val="both"/>
        <w:rPr>
          <w:rFonts w:ascii="Times New Roman" w:hAnsi="Times New Roman"/>
        </w:rPr>
      </w:pPr>
    </w:p>
  </w:footnote>
  <w:footnote w:id="32">
    <w:p w14:paraId="05B8A613"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Pippin (</w:t>
      </w:r>
      <w:r w:rsidRPr="009E4B11">
        <w:rPr>
          <w:rFonts w:ascii="Times New Roman" w:hAnsi="Times New Roman"/>
          <w:i/>
          <w:iCs/>
        </w:rPr>
        <w:t xml:space="preserve">Hegel’s Idealism, </w:t>
      </w:r>
      <w:r w:rsidRPr="009E4B11">
        <w:rPr>
          <w:rFonts w:ascii="Times New Roman" w:hAnsi="Times New Roman"/>
        </w:rPr>
        <w:t xml:space="preserve">8). </w:t>
      </w:r>
    </w:p>
  </w:footnote>
  <w:footnote w:id="33">
    <w:p w14:paraId="17C7D91B"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80-1 | </w:t>
      </w:r>
      <w:r w:rsidRPr="009E4B11">
        <w:rPr>
          <w:rFonts w:ascii="Times New Roman" w:hAnsi="Times New Roman"/>
          <w:i/>
          <w:iCs/>
        </w:rPr>
        <w:t xml:space="preserve">GW </w:t>
      </w:r>
      <w:r w:rsidRPr="009E4B11">
        <w:rPr>
          <w:rFonts w:ascii="Times New Roman" w:hAnsi="Times New Roman"/>
        </w:rPr>
        <w:t>4.6).</w:t>
      </w:r>
    </w:p>
  </w:footnote>
  <w:footnote w:id="34">
    <w:p w14:paraId="68E0AF1B"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I think there is much in common between Maimon and Hegel’s assessments of the Transcendental Deduction, although I know of no concrete evidence showing the direct influence of Maimon on Hegel.</w:t>
      </w:r>
    </w:p>
  </w:footnote>
  <w:footnote w:id="35">
    <w:p w14:paraId="0EAA97E5"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81 | </w:t>
      </w:r>
      <w:r w:rsidRPr="009E4B11">
        <w:rPr>
          <w:rFonts w:ascii="Times New Roman" w:hAnsi="Times New Roman"/>
          <w:i/>
          <w:iCs/>
        </w:rPr>
        <w:t xml:space="preserve">GW </w:t>
      </w:r>
      <w:r w:rsidRPr="009E4B11">
        <w:rPr>
          <w:rFonts w:ascii="Times New Roman" w:hAnsi="Times New Roman"/>
        </w:rPr>
        <w:t xml:space="preserve">4.6). I have slightly modified the translation, rendering </w:t>
      </w:r>
      <w:r w:rsidRPr="009E4B11">
        <w:rPr>
          <w:rFonts w:ascii="Times New Roman" w:hAnsi="Times New Roman"/>
          <w:i/>
          <w:iCs/>
        </w:rPr>
        <w:t xml:space="preserve">Ich </w:t>
      </w:r>
      <w:r w:rsidRPr="009E4B11">
        <w:rPr>
          <w:rFonts w:ascii="Times New Roman" w:hAnsi="Times New Roman"/>
        </w:rPr>
        <w:t>as ‘I.’</w:t>
      </w:r>
    </w:p>
  </w:footnote>
  <w:footnote w:id="36">
    <w:p w14:paraId="4191F40C"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w:t>
      </w:r>
      <w:r w:rsidRPr="009E4B11">
        <w:rPr>
          <w:rFonts w:ascii="Times New Roman" w:hAnsi="Times New Roman"/>
          <w:i/>
          <w:iCs/>
        </w:rPr>
        <w:t xml:space="preserve">An Attempt at a New Presentation of the Wissenschaftslehre, </w:t>
      </w:r>
      <w:r w:rsidRPr="009E4B11">
        <w:rPr>
          <w:rFonts w:ascii="Times New Roman" w:hAnsi="Times New Roman"/>
        </w:rPr>
        <w:t xml:space="preserve">86 | </w:t>
      </w:r>
      <w:r w:rsidRPr="009E4B11">
        <w:rPr>
          <w:rFonts w:ascii="Times New Roman" w:hAnsi="Times New Roman"/>
          <w:i/>
          <w:iCs/>
        </w:rPr>
        <w:t xml:space="preserve">GA </w:t>
      </w:r>
      <w:r w:rsidRPr="009E4B11">
        <w:rPr>
          <w:rFonts w:ascii="Times New Roman" w:hAnsi="Times New Roman"/>
        </w:rPr>
        <w:t xml:space="preserve">4.253) affirms this connection. </w:t>
      </w:r>
    </w:p>
  </w:footnote>
  <w:footnote w:id="37">
    <w:p w14:paraId="174C519E"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w:t>
      </w:r>
      <w:r w:rsidRPr="009E4B11">
        <w:rPr>
          <w:rFonts w:ascii="Times New Roman" w:hAnsi="Times New Roman"/>
          <w:i/>
          <w:iCs/>
        </w:rPr>
        <w:t xml:space="preserve">Foundation of the Entire Wissenschaftslehre, </w:t>
      </w:r>
      <w:r w:rsidRPr="009E4B11">
        <w:rPr>
          <w:rFonts w:ascii="Times New Roman" w:hAnsi="Times New Roman"/>
        </w:rPr>
        <w:t xml:space="preserve">200 | </w:t>
      </w:r>
      <w:r w:rsidRPr="009E4B11">
        <w:rPr>
          <w:rFonts w:ascii="Times New Roman" w:hAnsi="Times New Roman"/>
          <w:i/>
          <w:iCs/>
        </w:rPr>
        <w:t>GA</w:t>
      </w:r>
      <w:r w:rsidRPr="009E4B11">
        <w:rPr>
          <w:rFonts w:ascii="Times New Roman" w:hAnsi="Times New Roman"/>
        </w:rPr>
        <w:t xml:space="preserve"> 2.255) says that the first </w:t>
      </w:r>
      <w:r w:rsidRPr="009E4B11">
        <w:rPr>
          <w:rFonts w:ascii="Times New Roman" w:hAnsi="Times New Roman"/>
          <w:i/>
          <w:iCs/>
        </w:rPr>
        <w:t xml:space="preserve">Grundsatz </w:t>
      </w:r>
      <w:r w:rsidRPr="009E4B11">
        <w:rPr>
          <w:rFonts w:ascii="Times New Roman" w:hAnsi="Times New Roman"/>
        </w:rPr>
        <w:t xml:space="preserve">is first, purely and simply unconditional. </w:t>
      </w:r>
    </w:p>
  </w:footnote>
  <w:footnote w:id="38">
    <w:p w14:paraId="65E3EB65" w14:textId="77777777" w:rsidR="00C23D59" w:rsidRPr="007547F0" w:rsidRDefault="00C23D59" w:rsidP="007547F0">
      <w:pPr>
        <w:pStyle w:val="FootnoteText"/>
        <w:jc w:val="both"/>
        <w:rPr>
          <w:rFonts w:ascii="Times New Roman" w:hAnsi="Times New Roman"/>
        </w:rPr>
      </w:pPr>
      <w:r w:rsidRPr="007547F0">
        <w:rPr>
          <w:rStyle w:val="FootnoteReference"/>
          <w:rFonts w:ascii="Times New Roman" w:hAnsi="Times New Roman"/>
        </w:rPr>
        <w:footnoteRef/>
      </w:r>
      <w:r w:rsidRPr="007547F0">
        <w:rPr>
          <w:rFonts w:ascii="Times New Roman" w:hAnsi="Times New Roman"/>
        </w:rPr>
        <w:t xml:space="preserve"> Fichte (</w:t>
      </w:r>
      <w:r w:rsidRPr="007547F0">
        <w:rPr>
          <w:rFonts w:ascii="Times New Roman" w:hAnsi="Times New Roman"/>
          <w:i/>
          <w:iCs/>
        </w:rPr>
        <w:t>An Attempt at a New Presentation of the Wissenschaftslehre,</w:t>
      </w:r>
      <w:r w:rsidRPr="007547F0">
        <w:rPr>
          <w:rFonts w:ascii="Times New Roman" w:hAnsi="Times New Roman"/>
        </w:rPr>
        <w:t xml:space="preserve"> 13 | </w:t>
      </w:r>
      <w:r w:rsidRPr="007547F0">
        <w:rPr>
          <w:rFonts w:ascii="Times New Roman" w:hAnsi="Times New Roman"/>
          <w:i/>
          <w:iCs/>
        </w:rPr>
        <w:t xml:space="preserve">GA </w:t>
      </w:r>
      <w:r w:rsidRPr="007547F0">
        <w:rPr>
          <w:rFonts w:ascii="Times New Roman" w:hAnsi="Times New Roman"/>
        </w:rPr>
        <w:t xml:space="preserve">4.190): “The thing in itself is a pure invention which possesses no reality whatsoever.” </w:t>
      </w:r>
    </w:p>
  </w:footnote>
  <w:footnote w:id="39">
    <w:p w14:paraId="5EF3D86D" w14:textId="013A98BB" w:rsidR="007547F0" w:rsidRPr="00936B1C" w:rsidRDefault="007547F0" w:rsidP="00936B1C">
      <w:pPr>
        <w:pStyle w:val="FootnoteText"/>
        <w:jc w:val="both"/>
        <w:rPr>
          <w:rFonts w:ascii="Times New Roman" w:hAnsi="Times New Roman"/>
        </w:rPr>
      </w:pPr>
      <w:r w:rsidRPr="00936B1C">
        <w:rPr>
          <w:rStyle w:val="FootnoteReference"/>
          <w:rFonts w:ascii="Times New Roman" w:hAnsi="Times New Roman"/>
        </w:rPr>
        <w:footnoteRef/>
      </w:r>
      <w:r w:rsidRPr="00936B1C">
        <w:rPr>
          <w:rFonts w:ascii="Times New Roman" w:hAnsi="Times New Roman"/>
        </w:rPr>
        <w:t xml:space="preserve"> I accordingly disagree with Rosen (</w:t>
      </w:r>
      <w:r w:rsidRPr="00936B1C">
        <w:rPr>
          <w:rFonts w:ascii="Times New Roman" w:hAnsi="Times New Roman"/>
          <w:i/>
          <w:iCs/>
        </w:rPr>
        <w:t xml:space="preserve">The Idea of Hegel’s Science of Logic, </w:t>
      </w:r>
      <w:r w:rsidRPr="00936B1C">
        <w:rPr>
          <w:rFonts w:ascii="Times New Roman" w:hAnsi="Times New Roman"/>
        </w:rPr>
        <w:t>97) who argues that “Hegel sees Fichte in essentially Kantian terms, that is, as retaining the split between phenomena and noumena.”</w:t>
      </w:r>
    </w:p>
  </w:footnote>
  <w:footnote w:id="40">
    <w:p w14:paraId="0F8AB0F1" w14:textId="77777777" w:rsidR="00C23D59" w:rsidRPr="007547F0" w:rsidRDefault="00C23D59" w:rsidP="007547F0">
      <w:pPr>
        <w:pStyle w:val="FootnoteText"/>
        <w:jc w:val="both"/>
        <w:rPr>
          <w:rFonts w:ascii="Times New Roman" w:hAnsi="Times New Roman"/>
        </w:rPr>
      </w:pPr>
      <w:r w:rsidRPr="007547F0">
        <w:rPr>
          <w:rStyle w:val="FootnoteReference"/>
          <w:rFonts w:ascii="Times New Roman" w:hAnsi="Times New Roman"/>
        </w:rPr>
        <w:footnoteRef/>
      </w:r>
      <w:r w:rsidRPr="007547F0">
        <w:rPr>
          <w:rFonts w:ascii="Times New Roman" w:hAnsi="Times New Roman"/>
        </w:rPr>
        <w:t xml:space="preserve"> Fichte (</w:t>
      </w:r>
      <w:r w:rsidRPr="007547F0">
        <w:rPr>
          <w:rFonts w:ascii="Times New Roman" w:hAnsi="Times New Roman"/>
          <w:i/>
          <w:iCs/>
        </w:rPr>
        <w:t>Foundation of the Entire Wissenschaftslehre,</w:t>
      </w:r>
      <w:r w:rsidRPr="007547F0">
        <w:rPr>
          <w:rFonts w:ascii="Times New Roman" w:hAnsi="Times New Roman"/>
        </w:rPr>
        <w:t xml:space="preserve"> 200 | </w:t>
      </w:r>
      <w:r w:rsidRPr="007547F0">
        <w:rPr>
          <w:rFonts w:ascii="Times New Roman" w:hAnsi="Times New Roman"/>
          <w:i/>
          <w:iCs/>
        </w:rPr>
        <w:t>GA</w:t>
      </w:r>
      <w:r w:rsidRPr="007547F0">
        <w:rPr>
          <w:rFonts w:ascii="Times New Roman" w:hAnsi="Times New Roman"/>
        </w:rPr>
        <w:t xml:space="preserve"> 2.255).</w:t>
      </w:r>
    </w:p>
  </w:footnote>
  <w:footnote w:id="41">
    <w:p w14:paraId="75ACBF90" w14:textId="15AD3BBC" w:rsidR="007547F0" w:rsidRPr="00936B1C" w:rsidRDefault="007547F0" w:rsidP="00936B1C">
      <w:pPr>
        <w:pStyle w:val="FootnoteText"/>
        <w:jc w:val="both"/>
        <w:rPr>
          <w:rFonts w:ascii="Times New Roman" w:hAnsi="Times New Roman"/>
        </w:rPr>
      </w:pPr>
      <w:r w:rsidRPr="00936B1C">
        <w:rPr>
          <w:rStyle w:val="FootnoteReference"/>
          <w:rFonts w:ascii="Times New Roman" w:hAnsi="Times New Roman"/>
        </w:rPr>
        <w:footnoteRef/>
      </w:r>
      <w:r w:rsidRPr="00936B1C">
        <w:rPr>
          <w:rFonts w:ascii="Times New Roman" w:hAnsi="Times New Roman"/>
        </w:rPr>
        <w:t xml:space="preserve"> Fichte </w:t>
      </w:r>
      <w:r>
        <w:rPr>
          <w:rFonts w:ascii="Times New Roman" w:hAnsi="Times New Roman"/>
        </w:rPr>
        <w:t xml:space="preserve">did not himself invent this term, but he is the first to put it to its distinctive philosophical usage in the </w:t>
      </w:r>
      <w:r>
        <w:rPr>
          <w:rFonts w:ascii="Times New Roman" w:hAnsi="Times New Roman"/>
          <w:i/>
          <w:iCs/>
        </w:rPr>
        <w:t xml:space="preserve">Wissenschaftslehre. </w:t>
      </w:r>
      <w:r>
        <w:rPr>
          <w:rFonts w:ascii="Times New Roman" w:hAnsi="Times New Roman"/>
        </w:rPr>
        <w:t xml:space="preserve">See David Wood, “Fichte’s Absolute I and the Forgotten Tradition of Tathandlung” and Paul Franks “Freedom, Tatsache and Tathandlung in the Development of Fichte’s Jena </w:t>
      </w:r>
      <w:r>
        <w:rPr>
          <w:rFonts w:ascii="Times New Roman" w:hAnsi="Times New Roman"/>
          <w:i/>
          <w:iCs/>
        </w:rPr>
        <w:t>Wissenschaftslehre</w:t>
      </w:r>
      <w:r>
        <w:rPr>
          <w:rFonts w:ascii="Times New Roman" w:hAnsi="Times New Roman"/>
        </w:rPr>
        <w:t>”</w:t>
      </w:r>
      <w:r w:rsidR="00AD6236">
        <w:rPr>
          <w:rFonts w:ascii="Times New Roman" w:hAnsi="Times New Roman"/>
        </w:rPr>
        <w:t xml:space="preserve"> for the subterranean history of this term.</w:t>
      </w:r>
      <w:r>
        <w:rPr>
          <w:rFonts w:ascii="Times New Roman" w:hAnsi="Times New Roman"/>
        </w:rPr>
        <w:t xml:space="preserve"> I am grateful to an anonymous reviewer </w:t>
      </w:r>
      <w:r w:rsidR="00AD6236">
        <w:rPr>
          <w:rFonts w:ascii="Times New Roman" w:hAnsi="Times New Roman"/>
        </w:rPr>
        <w:t xml:space="preserve">at </w:t>
      </w:r>
      <w:r w:rsidR="00AD6236">
        <w:rPr>
          <w:rFonts w:ascii="Times New Roman" w:hAnsi="Times New Roman"/>
          <w:i/>
          <w:iCs/>
        </w:rPr>
        <w:t>Fichte-</w:t>
      </w:r>
      <w:proofErr w:type="spellStart"/>
      <w:r w:rsidR="00AD6236">
        <w:rPr>
          <w:rFonts w:ascii="Times New Roman" w:hAnsi="Times New Roman"/>
          <w:i/>
          <w:iCs/>
        </w:rPr>
        <w:t>Studien</w:t>
      </w:r>
      <w:proofErr w:type="spellEnd"/>
      <w:r w:rsidR="00AD6236">
        <w:rPr>
          <w:rFonts w:ascii="Times New Roman" w:hAnsi="Times New Roman"/>
          <w:i/>
          <w:iCs/>
        </w:rPr>
        <w:t xml:space="preserve"> </w:t>
      </w:r>
      <w:r>
        <w:rPr>
          <w:rFonts w:ascii="Times New Roman" w:hAnsi="Times New Roman"/>
        </w:rPr>
        <w:t xml:space="preserve">for directing my attention to these articles. </w:t>
      </w:r>
    </w:p>
  </w:footnote>
  <w:footnote w:id="42">
    <w:p w14:paraId="56B2D9D4"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w:t>
      </w:r>
      <w:r w:rsidRPr="009E4B11">
        <w:rPr>
          <w:rFonts w:ascii="Times New Roman" w:hAnsi="Times New Roman"/>
          <w:i/>
          <w:iCs/>
        </w:rPr>
        <w:t xml:space="preserve">Foundation of the Entire Wissenschaftslehre, </w:t>
      </w:r>
      <w:r w:rsidRPr="009E4B11">
        <w:rPr>
          <w:rFonts w:ascii="Times New Roman" w:hAnsi="Times New Roman"/>
        </w:rPr>
        <w:t xml:space="preserve">202 | </w:t>
      </w:r>
      <w:r w:rsidRPr="009E4B11">
        <w:rPr>
          <w:rFonts w:ascii="Times New Roman" w:hAnsi="Times New Roman"/>
          <w:i/>
          <w:iCs/>
        </w:rPr>
        <w:t>GA</w:t>
      </w:r>
      <w:r w:rsidRPr="009E4B11">
        <w:rPr>
          <w:rFonts w:ascii="Times New Roman" w:hAnsi="Times New Roman"/>
        </w:rPr>
        <w:t xml:space="preserve"> 2.257).</w:t>
      </w:r>
    </w:p>
  </w:footnote>
  <w:footnote w:id="43">
    <w:p w14:paraId="265B7069"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w:t>
      </w:r>
      <w:r w:rsidRPr="009E4B11">
        <w:rPr>
          <w:rFonts w:ascii="Times New Roman" w:hAnsi="Times New Roman"/>
          <w:i/>
          <w:iCs/>
        </w:rPr>
        <w:t xml:space="preserve">Foundation of the Entire Wissenschaftslehre, </w:t>
      </w:r>
      <w:r w:rsidRPr="009E4B11">
        <w:rPr>
          <w:rFonts w:ascii="Times New Roman" w:hAnsi="Times New Roman"/>
        </w:rPr>
        <w:t xml:space="preserve">201 | </w:t>
      </w:r>
      <w:r w:rsidRPr="009E4B11">
        <w:rPr>
          <w:rFonts w:ascii="Times New Roman" w:hAnsi="Times New Roman"/>
          <w:i/>
          <w:iCs/>
        </w:rPr>
        <w:t>GA</w:t>
      </w:r>
      <w:r w:rsidRPr="009E4B11">
        <w:rPr>
          <w:rFonts w:ascii="Times New Roman" w:hAnsi="Times New Roman"/>
        </w:rPr>
        <w:t xml:space="preserve"> 2.257).</w:t>
      </w:r>
    </w:p>
  </w:footnote>
  <w:footnote w:id="44">
    <w:p w14:paraId="1CF4302F"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See for example Kant (</w:t>
      </w:r>
      <w:r w:rsidRPr="009E4B11">
        <w:rPr>
          <w:rFonts w:ascii="Times New Roman" w:hAnsi="Times New Roman"/>
          <w:i/>
          <w:iCs/>
        </w:rPr>
        <w:t>Critique of Pure Reason,</w:t>
      </w:r>
      <w:r w:rsidRPr="009E4B11">
        <w:rPr>
          <w:rFonts w:ascii="Times New Roman" w:hAnsi="Times New Roman"/>
        </w:rPr>
        <w:t xml:space="preserve"> 232 | </w:t>
      </w:r>
      <w:r w:rsidRPr="009E4B11">
        <w:rPr>
          <w:rFonts w:ascii="Times New Roman" w:hAnsi="Times New Roman"/>
          <w:i/>
          <w:iCs/>
        </w:rPr>
        <w:t xml:space="preserve">AK </w:t>
      </w:r>
      <w:r w:rsidRPr="009E4B11">
        <w:rPr>
          <w:rFonts w:ascii="Times New Roman" w:hAnsi="Times New Roman"/>
        </w:rPr>
        <w:t xml:space="preserve">A107): </w:t>
      </w:r>
    </w:p>
    <w:p w14:paraId="5EE92BDA" w14:textId="77777777" w:rsidR="00C23D59" w:rsidRPr="009E4B11" w:rsidRDefault="00C23D59" w:rsidP="00C23D59">
      <w:pPr>
        <w:pStyle w:val="FootnoteText"/>
        <w:jc w:val="both"/>
        <w:rPr>
          <w:rFonts w:ascii="Times New Roman" w:hAnsi="Times New Roman"/>
        </w:rPr>
      </w:pPr>
    </w:p>
    <w:p w14:paraId="7C944E83" w14:textId="6BD0B773" w:rsidR="00C23D59" w:rsidRDefault="00C23D59" w:rsidP="007547F0">
      <w:pPr>
        <w:pStyle w:val="FootnoteText"/>
        <w:ind w:left="720" w:right="720"/>
        <w:jc w:val="both"/>
        <w:rPr>
          <w:rFonts w:ascii="Times New Roman" w:hAnsi="Times New Roman"/>
        </w:rPr>
      </w:pPr>
      <w:r w:rsidRPr="009E4B11">
        <w:rPr>
          <w:rFonts w:ascii="Times New Roman" w:hAnsi="Times New Roman"/>
        </w:rPr>
        <w:t xml:space="preserve">Now this original and transcendental condition is nothing other than the </w:t>
      </w:r>
      <w:r w:rsidRPr="009E4B11">
        <w:rPr>
          <w:rFonts w:ascii="Times New Roman" w:hAnsi="Times New Roman"/>
          <w:b/>
          <w:bCs/>
        </w:rPr>
        <w:t xml:space="preserve">transcendental apperception. </w:t>
      </w:r>
      <w:r w:rsidRPr="009E4B11">
        <w:rPr>
          <w:rFonts w:ascii="Times New Roman" w:hAnsi="Times New Roman"/>
        </w:rPr>
        <w:t xml:space="preserve">The consciousness of oneself in accordance with the determinations of our state in internal perception is merely empirical, forever variable; it can provide no standing or abiding self in this stream of inner </w:t>
      </w:r>
      <w:proofErr w:type="gramStart"/>
      <w:r w:rsidRPr="009E4B11">
        <w:rPr>
          <w:rFonts w:ascii="Times New Roman" w:hAnsi="Times New Roman"/>
        </w:rPr>
        <w:t>appearances, and</w:t>
      </w:r>
      <w:proofErr w:type="gramEnd"/>
      <w:r w:rsidRPr="009E4B11">
        <w:rPr>
          <w:rFonts w:ascii="Times New Roman" w:hAnsi="Times New Roman"/>
        </w:rPr>
        <w:t xml:space="preserve"> is customarily called </w:t>
      </w:r>
      <w:r w:rsidRPr="009E4B11">
        <w:rPr>
          <w:rFonts w:ascii="Times New Roman" w:hAnsi="Times New Roman"/>
          <w:b/>
          <w:bCs/>
        </w:rPr>
        <w:t xml:space="preserve">inner sense </w:t>
      </w:r>
      <w:r w:rsidRPr="009E4B11">
        <w:rPr>
          <w:rFonts w:ascii="Times New Roman" w:hAnsi="Times New Roman"/>
        </w:rPr>
        <w:t xml:space="preserve">or </w:t>
      </w:r>
      <w:r w:rsidRPr="009E4B11">
        <w:rPr>
          <w:rFonts w:ascii="Times New Roman" w:hAnsi="Times New Roman"/>
          <w:b/>
          <w:bCs/>
        </w:rPr>
        <w:t xml:space="preserve">empirical apperception. </w:t>
      </w:r>
      <w:r w:rsidRPr="009E4B11">
        <w:rPr>
          <w:rFonts w:ascii="Times New Roman" w:hAnsi="Times New Roman"/>
        </w:rPr>
        <w:t xml:space="preserve">That which should </w:t>
      </w:r>
      <w:r w:rsidRPr="009E4B11">
        <w:rPr>
          <w:rFonts w:ascii="Times New Roman" w:hAnsi="Times New Roman"/>
          <w:b/>
          <w:bCs/>
        </w:rPr>
        <w:t xml:space="preserve">necessarily </w:t>
      </w:r>
      <w:r w:rsidRPr="009E4B11">
        <w:rPr>
          <w:rFonts w:ascii="Times New Roman" w:hAnsi="Times New Roman"/>
        </w:rPr>
        <w:t>be represented as numerically identical cannot be thought of as such through empirical data. There must be a condition which precedes all experience and makes the latter itself possible, which should make such a transcendental presupposition valid.</w:t>
      </w:r>
    </w:p>
    <w:p w14:paraId="72DB1AD6" w14:textId="77777777" w:rsidR="00936B1C" w:rsidRPr="009E4B11" w:rsidRDefault="00936B1C" w:rsidP="007547F0">
      <w:pPr>
        <w:pStyle w:val="FootnoteText"/>
        <w:ind w:left="720" w:right="720"/>
        <w:jc w:val="both"/>
        <w:rPr>
          <w:rFonts w:ascii="Times New Roman" w:hAnsi="Times New Roman"/>
        </w:rPr>
      </w:pPr>
    </w:p>
  </w:footnote>
  <w:footnote w:id="45">
    <w:p w14:paraId="4FEFC187"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w:t>
      </w:r>
      <w:r w:rsidRPr="009E4B11">
        <w:rPr>
          <w:rFonts w:ascii="Times New Roman" w:hAnsi="Times New Roman"/>
          <w:i/>
          <w:iCs/>
        </w:rPr>
        <w:t xml:space="preserve">Foundation of the Entire Wissenschaftslehre, </w:t>
      </w:r>
      <w:r w:rsidRPr="009E4B11">
        <w:rPr>
          <w:rFonts w:ascii="Times New Roman" w:hAnsi="Times New Roman"/>
        </w:rPr>
        <w:t xml:space="preserve">202 | </w:t>
      </w:r>
      <w:r w:rsidRPr="009E4B11">
        <w:rPr>
          <w:rFonts w:ascii="Times New Roman" w:hAnsi="Times New Roman"/>
          <w:i/>
          <w:iCs/>
        </w:rPr>
        <w:t>GA</w:t>
      </w:r>
      <w:r w:rsidRPr="009E4B11">
        <w:rPr>
          <w:rFonts w:ascii="Times New Roman" w:hAnsi="Times New Roman"/>
        </w:rPr>
        <w:t xml:space="preserve"> 2.257).</w:t>
      </w:r>
    </w:p>
  </w:footnote>
  <w:footnote w:id="46">
    <w:p w14:paraId="3BE030E9"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w:t>
      </w:r>
      <w:r w:rsidRPr="009E4B11">
        <w:rPr>
          <w:rFonts w:ascii="Times New Roman" w:hAnsi="Times New Roman"/>
          <w:i/>
          <w:iCs/>
        </w:rPr>
        <w:t xml:space="preserve">Foundation of the Entire Wissenschaftslehre, </w:t>
      </w:r>
      <w:r w:rsidRPr="009E4B11">
        <w:rPr>
          <w:rFonts w:ascii="Times New Roman" w:hAnsi="Times New Roman"/>
        </w:rPr>
        <w:t xml:space="preserve">202 | </w:t>
      </w:r>
      <w:r w:rsidRPr="009E4B11">
        <w:rPr>
          <w:rFonts w:ascii="Times New Roman" w:hAnsi="Times New Roman"/>
          <w:i/>
          <w:iCs/>
        </w:rPr>
        <w:t>GA</w:t>
      </w:r>
      <w:r w:rsidRPr="009E4B11">
        <w:rPr>
          <w:rFonts w:ascii="Times New Roman" w:hAnsi="Times New Roman"/>
        </w:rPr>
        <w:t xml:space="preserve"> 2.257-8). </w:t>
      </w:r>
    </w:p>
  </w:footnote>
  <w:footnote w:id="47">
    <w:p w14:paraId="22C11E75"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w:t>
      </w:r>
      <w:r w:rsidRPr="009E4B11">
        <w:rPr>
          <w:rFonts w:ascii="Times New Roman" w:hAnsi="Times New Roman"/>
          <w:i/>
          <w:iCs/>
        </w:rPr>
        <w:t xml:space="preserve">Foundation of the Entire Wissenschaftslehre, </w:t>
      </w:r>
      <w:r w:rsidRPr="009E4B11">
        <w:rPr>
          <w:rFonts w:ascii="Times New Roman" w:hAnsi="Times New Roman"/>
        </w:rPr>
        <w:t xml:space="preserve">202 | </w:t>
      </w:r>
      <w:r w:rsidRPr="009E4B11">
        <w:rPr>
          <w:rFonts w:ascii="Times New Roman" w:hAnsi="Times New Roman"/>
          <w:i/>
          <w:iCs/>
        </w:rPr>
        <w:t>GA</w:t>
      </w:r>
      <w:r w:rsidRPr="009E4B11">
        <w:rPr>
          <w:rFonts w:ascii="Times New Roman" w:hAnsi="Times New Roman"/>
        </w:rPr>
        <w:t xml:space="preserve"> 2.258). </w:t>
      </w:r>
    </w:p>
  </w:footnote>
  <w:footnote w:id="48">
    <w:p w14:paraId="65BA30BD"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w:t>
      </w:r>
      <w:r w:rsidRPr="009E4B11">
        <w:rPr>
          <w:rFonts w:ascii="Times New Roman" w:hAnsi="Times New Roman"/>
          <w:i/>
          <w:iCs/>
        </w:rPr>
        <w:t>Foundation of the Entire Wissenschaftslehre,</w:t>
      </w:r>
      <w:r w:rsidRPr="009E4B11">
        <w:rPr>
          <w:rFonts w:ascii="Times New Roman" w:hAnsi="Times New Roman"/>
        </w:rPr>
        <w:t xml:space="preserve"> 204 |</w:t>
      </w:r>
      <w:r w:rsidRPr="009E4B11">
        <w:rPr>
          <w:rFonts w:ascii="Times New Roman" w:hAnsi="Times New Roman"/>
          <w:i/>
          <w:iCs/>
        </w:rPr>
        <w:t xml:space="preserve"> GA</w:t>
      </w:r>
      <w:r w:rsidRPr="009E4B11">
        <w:rPr>
          <w:rFonts w:ascii="Times New Roman" w:hAnsi="Times New Roman"/>
        </w:rPr>
        <w:t xml:space="preserve"> 2.259).</w:t>
      </w:r>
    </w:p>
  </w:footnote>
  <w:footnote w:id="49">
    <w:p w14:paraId="32ECB261"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w:t>
      </w:r>
      <w:r w:rsidRPr="009E4B11">
        <w:rPr>
          <w:rFonts w:ascii="Times New Roman" w:hAnsi="Times New Roman"/>
          <w:i/>
          <w:iCs/>
        </w:rPr>
        <w:t xml:space="preserve">Foundation of the Entire Wissenschaftslehre, </w:t>
      </w:r>
      <w:r w:rsidRPr="009E4B11">
        <w:rPr>
          <w:rFonts w:ascii="Times New Roman" w:hAnsi="Times New Roman"/>
        </w:rPr>
        <w:t xml:space="preserve">204 | </w:t>
      </w:r>
      <w:r w:rsidRPr="009E4B11">
        <w:rPr>
          <w:rFonts w:ascii="Times New Roman" w:hAnsi="Times New Roman"/>
          <w:i/>
          <w:iCs/>
        </w:rPr>
        <w:t>GA</w:t>
      </w:r>
      <w:r w:rsidRPr="009E4B11">
        <w:rPr>
          <w:rFonts w:ascii="Times New Roman" w:hAnsi="Times New Roman"/>
        </w:rPr>
        <w:t xml:space="preserve"> 2.259).</w:t>
      </w:r>
    </w:p>
  </w:footnote>
  <w:footnote w:id="50">
    <w:p w14:paraId="3D840669"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 xml:space="preserve">Phenomenology of Spirit, </w:t>
      </w:r>
      <w:r w:rsidRPr="009E4B11">
        <w:rPr>
          <w:rFonts w:ascii="Times New Roman" w:hAnsi="Times New Roman"/>
        </w:rPr>
        <w:t xml:space="preserve">12 | </w:t>
      </w:r>
      <w:r w:rsidRPr="009E4B11">
        <w:rPr>
          <w:rFonts w:ascii="Times New Roman" w:hAnsi="Times New Roman"/>
          <w:i/>
          <w:iCs/>
        </w:rPr>
        <w:t>GW</w:t>
      </w:r>
      <w:r w:rsidRPr="009E4B11">
        <w:rPr>
          <w:rFonts w:ascii="Times New Roman" w:hAnsi="Times New Roman"/>
        </w:rPr>
        <w:t xml:space="preserve"> 9.18) importantly uses Fichte’s account of self-positing in the </w:t>
      </w:r>
      <w:r w:rsidRPr="009E4B11">
        <w:rPr>
          <w:rFonts w:ascii="Times New Roman" w:hAnsi="Times New Roman"/>
          <w:i/>
          <w:iCs/>
        </w:rPr>
        <w:t xml:space="preserve">Phenomenology of Spirit </w:t>
      </w:r>
      <w:r w:rsidRPr="009E4B11">
        <w:rPr>
          <w:rFonts w:ascii="Times New Roman" w:hAnsi="Times New Roman"/>
        </w:rPr>
        <w:t>to clarify his famous claim that the Absolute must be understood “…not just as substance, but just as much as subject.” He writes that “Furthermore, the living substance is the being that is in truth subject, or, what amounts to the same thing, it is in truth actual only insofar as it is the movement of self-positing, or, that it is the mediation of itself and its becoming-other to itself.”</w:t>
      </w:r>
    </w:p>
  </w:footnote>
  <w:footnote w:id="51">
    <w:p w14:paraId="0CF6B573"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81 | </w:t>
      </w:r>
      <w:r w:rsidRPr="009E4B11">
        <w:rPr>
          <w:rFonts w:ascii="Times New Roman" w:hAnsi="Times New Roman"/>
          <w:i/>
          <w:iCs/>
        </w:rPr>
        <w:t xml:space="preserve">GW </w:t>
      </w:r>
      <w:r w:rsidRPr="009E4B11">
        <w:rPr>
          <w:rFonts w:ascii="Times New Roman" w:hAnsi="Times New Roman"/>
        </w:rPr>
        <w:t>4.6).</w:t>
      </w:r>
    </w:p>
  </w:footnote>
  <w:footnote w:id="52">
    <w:p w14:paraId="6F9BC54E"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82 | </w:t>
      </w:r>
      <w:r w:rsidRPr="009E4B11">
        <w:rPr>
          <w:rFonts w:ascii="Times New Roman" w:hAnsi="Times New Roman"/>
          <w:i/>
          <w:iCs/>
        </w:rPr>
        <w:t xml:space="preserve">GW </w:t>
      </w:r>
      <w:r w:rsidRPr="009E4B11">
        <w:rPr>
          <w:rFonts w:ascii="Times New Roman" w:hAnsi="Times New Roman"/>
        </w:rPr>
        <w:t>4.7).</w:t>
      </w:r>
    </w:p>
  </w:footnote>
  <w:footnote w:id="53">
    <w:p w14:paraId="45ED3AF2"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(“Concerning the Concept of the </w:t>
      </w:r>
      <w:r w:rsidRPr="009E4B11">
        <w:rPr>
          <w:rFonts w:ascii="Times New Roman" w:hAnsi="Times New Roman"/>
          <w:i/>
          <w:iCs/>
        </w:rPr>
        <w:t>Wissenschaftslehre</w:t>
      </w:r>
      <w:r w:rsidRPr="009E4B11">
        <w:rPr>
          <w:rFonts w:ascii="Times New Roman" w:hAnsi="Times New Roman"/>
        </w:rPr>
        <w:t xml:space="preserve">,” 159-160 | </w:t>
      </w:r>
      <w:r w:rsidRPr="009E4B11">
        <w:rPr>
          <w:rFonts w:ascii="Times New Roman" w:hAnsi="Times New Roman"/>
          <w:i/>
          <w:iCs/>
        </w:rPr>
        <w:t>GA</w:t>
      </w:r>
      <w:r w:rsidRPr="009E4B11">
        <w:rPr>
          <w:rFonts w:ascii="Times New Roman" w:hAnsi="Times New Roman"/>
        </w:rPr>
        <w:t xml:space="preserve"> 2.115).</w:t>
      </w:r>
    </w:p>
  </w:footnote>
  <w:footnote w:id="54">
    <w:p w14:paraId="38FB2843"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w:t>
      </w:r>
      <w:r w:rsidRPr="009E4B11">
        <w:rPr>
          <w:rFonts w:ascii="Times New Roman" w:hAnsi="Times New Roman"/>
          <w:i/>
          <w:iCs/>
        </w:rPr>
        <w:t>Foundation of the Entire Wissenschaftslehre,</w:t>
      </w:r>
      <w:r w:rsidRPr="009E4B11">
        <w:rPr>
          <w:rFonts w:ascii="Times New Roman" w:hAnsi="Times New Roman"/>
        </w:rPr>
        <w:t xml:space="preserve"> 207 | </w:t>
      </w:r>
      <w:r w:rsidRPr="009E4B11">
        <w:rPr>
          <w:rFonts w:ascii="Times New Roman" w:hAnsi="Times New Roman"/>
          <w:i/>
          <w:iCs/>
        </w:rPr>
        <w:t>GA</w:t>
      </w:r>
      <w:r w:rsidRPr="009E4B11">
        <w:rPr>
          <w:rFonts w:ascii="Times New Roman" w:hAnsi="Times New Roman"/>
        </w:rPr>
        <w:t xml:space="preserve"> 2.264).</w:t>
      </w:r>
    </w:p>
  </w:footnote>
  <w:footnote w:id="55">
    <w:p w14:paraId="16445DB8"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126 | </w:t>
      </w:r>
      <w:r w:rsidRPr="009E4B11">
        <w:rPr>
          <w:rFonts w:ascii="Times New Roman" w:hAnsi="Times New Roman"/>
          <w:i/>
          <w:iCs/>
        </w:rPr>
        <w:t xml:space="preserve">GW </w:t>
      </w:r>
      <w:r w:rsidRPr="009E4B11">
        <w:rPr>
          <w:rFonts w:ascii="Times New Roman" w:hAnsi="Times New Roman"/>
        </w:rPr>
        <w:t>4.40).</w:t>
      </w:r>
    </w:p>
  </w:footnote>
  <w:footnote w:id="56">
    <w:p w14:paraId="57CC2B57"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106 | </w:t>
      </w:r>
      <w:r w:rsidRPr="009E4B11">
        <w:rPr>
          <w:rFonts w:ascii="Times New Roman" w:hAnsi="Times New Roman"/>
          <w:i/>
          <w:iCs/>
        </w:rPr>
        <w:t xml:space="preserve">GW </w:t>
      </w:r>
      <w:r w:rsidRPr="009E4B11">
        <w:rPr>
          <w:rFonts w:ascii="Times New Roman" w:hAnsi="Times New Roman"/>
        </w:rPr>
        <w:t>4.24).</w:t>
      </w:r>
    </w:p>
  </w:footnote>
  <w:footnote w:id="57">
    <w:p w14:paraId="0F5D125A" w14:textId="7A0FF1C4" w:rsidR="00CD2A84" w:rsidRPr="00936B1C" w:rsidRDefault="00CD2A84" w:rsidP="00936B1C">
      <w:pPr>
        <w:pStyle w:val="FootnoteText"/>
        <w:jc w:val="both"/>
        <w:rPr>
          <w:rFonts w:ascii="Times New Roman" w:hAnsi="Times New Roman"/>
        </w:rPr>
      </w:pPr>
      <w:r w:rsidRPr="00936B1C">
        <w:rPr>
          <w:rStyle w:val="FootnoteReference"/>
          <w:rFonts w:ascii="Times New Roman" w:hAnsi="Times New Roman"/>
        </w:rPr>
        <w:footnoteRef/>
      </w:r>
      <w:r w:rsidRPr="00936B1C">
        <w:rPr>
          <w:rFonts w:ascii="Times New Roman" w:hAnsi="Times New Roman"/>
        </w:rPr>
        <w:t xml:space="preserve"> Hegel will later provide a detailed treatment of the categories of ‘identity,’ ‘difference,’ ‘opposition,’ </w:t>
      </w:r>
      <w:r w:rsidR="00BA4C43">
        <w:rPr>
          <w:rFonts w:ascii="Times New Roman" w:hAnsi="Times New Roman"/>
        </w:rPr>
        <w:t xml:space="preserve">‘diversity,’ </w:t>
      </w:r>
      <w:r w:rsidRPr="00936B1C">
        <w:rPr>
          <w:rFonts w:ascii="Times New Roman" w:hAnsi="Times New Roman"/>
        </w:rPr>
        <w:t xml:space="preserve">and ‘contradiction’ in the Essentialities chapter of the </w:t>
      </w:r>
      <w:r w:rsidRPr="00936B1C">
        <w:rPr>
          <w:rFonts w:ascii="Times New Roman" w:hAnsi="Times New Roman"/>
          <w:i/>
          <w:iCs/>
        </w:rPr>
        <w:t>Science of Logic</w:t>
      </w:r>
      <w:r>
        <w:rPr>
          <w:rFonts w:ascii="Times New Roman" w:hAnsi="Times New Roman"/>
          <w:i/>
          <w:iCs/>
        </w:rPr>
        <w:t>,</w:t>
      </w:r>
      <w:r w:rsidRPr="00936B1C">
        <w:rPr>
          <w:rFonts w:ascii="Times New Roman" w:hAnsi="Times New Roman"/>
          <w:i/>
          <w:iCs/>
        </w:rPr>
        <w:t xml:space="preserve"> </w:t>
      </w:r>
      <w:r>
        <w:rPr>
          <w:rFonts w:ascii="Times New Roman" w:hAnsi="Times New Roman"/>
        </w:rPr>
        <w:t>but a</w:t>
      </w:r>
      <w:r w:rsidRPr="00936B1C">
        <w:rPr>
          <w:rFonts w:ascii="Times New Roman" w:hAnsi="Times New Roman"/>
        </w:rPr>
        <w:t xml:space="preserve"> detailed treatment of </w:t>
      </w:r>
      <w:r>
        <w:rPr>
          <w:rFonts w:ascii="Times New Roman" w:hAnsi="Times New Roman"/>
        </w:rPr>
        <w:t>Hegel’s understanding of these terms and their relationship to Fichte goes beyond the scope of this paper.</w:t>
      </w:r>
    </w:p>
  </w:footnote>
  <w:footnote w:id="58">
    <w:p w14:paraId="05904F78" w14:textId="5807AD52" w:rsidR="00A302D7" w:rsidRPr="00936B1C" w:rsidRDefault="00A302D7" w:rsidP="00936B1C">
      <w:pPr>
        <w:pStyle w:val="FootnoteText"/>
        <w:jc w:val="both"/>
        <w:rPr>
          <w:rFonts w:ascii="Times New Roman" w:hAnsi="Times New Roman"/>
        </w:rPr>
      </w:pPr>
      <w:r w:rsidRPr="00936B1C">
        <w:rPr>
          <w:rStyle w:val="FootnoteReference"/>
          <w:rFonts w:ascii="Times New Roman" w:hAnsi="Times New Roman"/>
        </w:rPr>
        <w:footnoteRef/>
      </w:r>
      <w:r w:rsidRPr="00936B1C">
        <w:rPr>
          <w:rFonts w:ascii="Times New Roman" w:hAnsi="Times New Roman"/>
        </w:rPr>
        <w:t xml:space="preserve"> I therefore disagree with Ng </w:t>
      </w:r>
      <w:r w:rsidR="007547F0">
        <w:rPr>
          <w:rFonts w:ascii="Times New Roman" w:hAnsi="Times New Roman"/>
        </w:rPr>
        <w:t>(</w:t>
      </w:r>
      <w:r w:rsidR="007547F0">
        <w:rPr>
          <w:rFonts w:ascii="Times New Roman" w:hAnsi="Times New Roman"/>
          <w:i/>
          <w:iCs/>
        </w:rPr>
        <w:t xml:space="preserve">Hegel’s Concept of Life, </w:t>
      </w:r>
      <w:r w:rsidR="007547F0">
        <w:rPr>
          <w:rFonts w:ascii="Times New Roman" w:hAnsi="Times New Roman"/>
        </w:rPr>
        <w:t xml:space="preserve">68) </w:t>
      </w:r>
      <w:r w:rsidRPr="00936B1C">
        <w:rPr>
          <w:rFonts w:ascii="Times New Roman" w:hAnsi="Times New Roman"/>
        </w:rPr>
        <w:t>when she writes that “Although Hegel will adopt large portions of Fichte’s theory of self-consciousness, I argue that the critique of Fichte’s idealism as ‘subjective’ hinges on Fichte’s inability to conceive of nature as internally purposive and living.”</w:t>
      </w:r>
      <w:r>
        <w:rPr>
          <w:rFonts w:ascii="Times New Roman" w:hAnsi="Times New Roman"/>
        </w:rPr>
        <w:t xml:space="preserve"> In my view, </w:t>
      </w:r>
      <w:r w:rsidR="007547F0">
        <w:rPr>
          <w:rFonts w:ascii="Times New Roman" w:hAnsi="Times New Roman"/>
        </w:rPr>
        <w:t xml:space="preserve">this problem with Fichte’s system is downstream from the problems concerning his foundational principles. </w:t>
      </w:r>
    </w:p>
  </w:footnote>
  <w:footnote w:id="59">
    <w:p w14:paraId="4EA79E18"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125 | </w:t>
      </w:r>
      <w:r w:rsidRPr="009E4B11">
        <w:rPr>
          <w:rFonts w:ascii="Times New Roman" w:hAnsi="Times New Roman"/>
          <w:i/>
          <w:iCs/>
        </w:rPr>
        <w:t xml:space="preserve">GW </w:t>
      </w:r>
      <w:r w:rsidRPr="009E4B11">
        <w:rPr>
          <w:rFonts w:ascii="Times New Roman" w:hAnsi="Times New Roman"/>
        </w:rPr>
        <w:t>4.40).</w:t>
      </w:r>
    </w:p>
  </w:footnote>
  <w:footnote w:id="60">
    <w:p w14:paraId="0F68D15E" w14:textId="77777777" w:rsidR="00C23D59" w:rsidRPr="009E4B11" w:rsidRDefault="00C23D59" w:rsidP="00C23D59">
      <w:pPr>
        <w:jc w:val="both"/>
        <w:rPr>
          <w:sz w:val="20"/>
        </w:rPr>
      </w:pPr>
      <w:r w:rsidRPr="009E4B11">
        <w:rPr>
          <w:rStyle w:val="FootnoteReference"/>
          <w:rFonts w:eastAsia="Aptos"/>
          <w:sz w:val="20"/>
        </w:rPr>
        <w:footnoteRef/>
      </w:r>
      <w:r w:rsidRPr="009E4B11">
        <w:rPr>
          <w:sz w:val="20"/>
        </w:rPr>
        <w:t xml:space="preserve"> Hegel (</w:t>
      </w:r>
      <w:r w:rsidRPr="009E4B11">
        <w:rPr>
          <w:i/>
          <w:iCs/>
          <w:sz w:val="20"/>
        </w:rPr>
        <w:t>The Difference Between Fichte’s and Schelling’s Systems of Philosophy</w:t>
      </w:r>
      <w:r w:rsidRPr="009E4B11">
        <w:rPr>
          <w:sz w:val="20"/>
        </w:rPr>
        <w:t xml:space="preserve">, 105 | </w:t>
      </w:r>
      <w:r w:rsidRPr="009E4B11">
        <w:rPr>
          <w:i/>
          <w:iCs/>
          <w:sz w:val="20"/>
        </w:rPr>
        <w:t xml:space="preserve">GW </w:t>
      </w:r>
      <w:r w:rsidRPr="009E4B11">
        <w:rPr>
          <w:sz w:val="20"/>
        </w:rPr>
        <w:t>4.24): “No philosophical beginning could look worse than to begin with a definition as Spinoza does.”</w:t>
      </w:r>
    </w:p>
  </w:footnote>
  <w:footnote w:id="61">
    <w:p w14:paraId="4334C409"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103 | </w:t>
      </w:r>
      <w:r w:rsidRPr="009E4B11">
        <w:rPr>
          <w:rFonts w:ascii="Times New Roman" w:hAnsi="Times New Roman"/>
          <w:i/>
          <w:iCs/>
        </w:rPr>
        <w:t xml:space="preserve">GW </w:t>
      </w:r>
      <w:r w:rsidRPr="009E4B11">
        <w:rPr>
          <w:rFonts w:ascii="Times New Roman" w:hAnsi="Times New Roman"/>
        </w:rPr>
        <w:t>4.23-4).</w:t>
      </w:r>
    </w:p>
  </w:footnote>
  <w:footnote w:id="62">
    <w:p w14:paraId="5A5172A5"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w:t>
      </w:r>
      <w:r w:rsidRPr="009E4B11">
        <w:rPr>
          <w:rFonts w:ascii="Times New Roman" w:hAnsi="Times New Roman"/>
          <w:i/>
          <w:iCs/>
        </w:rPr>
        <w:t xml:space="preserve">Foundation of the Entire Wissenschaftslehre, </w:t>
      </w:r>
      <w:r w:rsidRPr="009E4B11">
        <w:rPr>
          <w:rFonts w:ascii="Times New Roman" w:hAnsi="Times New Roman"/>
        </w:rPr>
        <w:t xml:space="preserve">226-7 | </w:t>
      </w:r>
      <w:r w:rsidRPr="009E4B11">
        <w:rPr>
          <w:rFonts w:ascii="Times New Roman" w:hAnsi="Times New Roman"/>
          <w:i/>
          <w:iCs/>
        </w:rPr>
        <w:t>GA</w:t>
      </w:r>
      <w:r w:rsidRPr="009E4B11">
        <w:rPr>
          <w:rFonts w:ascii="Times New Roman" w:hAnsi="Times New Roman"/>
        </w:rPr>
        <w:t xml:space="preserve"> 2.285).</w:t>
      </w:r>
    </w:p>
  </w:footnote>
  <w:footnote w:id="63">
    <w:p w14:paraId="01A81AEF"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For a much more thorough and sympathetic treatment of Fichte’s concept of the </w:t>
      </w:r>
      <w:r w:rsidRPr="009E4B11">
        <w:rPr>
          <w:rFonts w:ascii="Times New Roman" w:hAnsi="Times New Roman"/>
          <w:i/>
          <w:iCs/>
        </w:rPr>
        <w:t xml:space="preserve">Anstoß, </w:t>
      </w:r>
      <w:r w:rsidRPr="009E4B11">
        <w:rPr>
          <w:rFonts w:ascii="Times New Roman" w:hAnsi="Times New Roman"/>
        </w:rPr>
        <w:t>see Breazeale (“</w:t>
      </w:r>
      <w:r w:rsidRPr="009E4B11">
        <w:rPr>
          <w:rFonts w:ascii="Times New Roman" w:hAnsi="Times New Roman"/>
          <w:i/>
          <w:iCs/>
        </w:rPr>
        <w:t>Anstoß</w:t>
      </w:r>
      <w:r w:rsidRPr="009E4B11">
        <w:rPr>
          <w:rFonts w:ascii="Times New Roman" w:hAnsi="Times New Roman"/>
        </w:rPr>
        <w:t>, Abstract Realism, and the Finitude of the I”).</w:t>
      </w:r>
    </w:p>
  </w:footnote>
  <w:footnote w:id="64">
    <w:p w14:paraId="291DE106"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w:t>
      </w:r>
      <w:r w:rsidRPr="009E4B11">
        <w:rPr>
          <w:rFonts w:ascii="Times New Roman" w:hAnsi="Times New Roman"/>
          <w:i/>
          <w:iCs/>
        </w:rPr>
        <w:t xml:space="preserve">Foundation of the Entire Wissenschaftslehre, </w:t>
      </w:r>
      <w:r w:rsidRPr="009E4B11">
        <w:rPr>
          <w:rFonts w:ascii="Times New Roman" w:hAnsi="Times New Roman"/>
        </w:rPr>
        <w:t xml:space="preserve">292 | </w:t>
      </w:r>
      <w:r w:rsidRPr="009E4B11">
        <w:rPr>
          <w:rFonts w:ascii="Times New Roman" w:hAnsi="Times New Roman"/>
          <w:i/>
          <w:iCs/>
        </w:rPr>
        <w:t>GA</w:t>
      </w:r>
      <w:r w:rsidRPr="009E4B11">
        <w:rPr>
          <w:rFonts w:ascii="Times New Roman" w:hAnsi="Times New Roman"/>
        </w:rPr>
        <w:t xml:space="preserve"> 2.255).</w:t>
      </w:r>
    </w:p>
  </w:footnote>
  <w:footnote w:id="65">
    <w:p w14:paraId="7A4E5E5F"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w:t>
      </w:r>
      <w:r w:rsidRPr="009E4B11">
        <w:rPr>
          <w:rFonts w:ascii="Times New Roman" w:hAnsi="Times New Roman"/>
          <w:i/>
          <w:iCs/>
        </w:rPr>
        <w:t xml:space="preserve">Foundation of the Entire Wissenschaftslehre, </w:t>
      </w:r>
      <w:r w:rsidRPr="009E4B11">
        <w:rPr>
          <w:rFonts w:ascii="Times New Roman" w:hAnsi="Times New Roman"/>
        </w:rPr>
        <w:t xml:space="preserve">296 | </w:t>
      </w:r>
      <w:r w:rsidRPr="009E4B11">
        <w:rPr>
          <w:rFonts w:ascii="Times New Roman" w:hAnsi="Times New Roman"/>
          <w:i/>
          <w:iCs/>
        </w:rPr>
        <w:t>GA</w:t>
      </w:r>
      <w:r w:rsidRPr="009E4B11">
        <w:rPr>
          <w:rFonts w:ascii="Times New Roman" w:hAnsi="Times New Roman"/>
        </w:rPr>
        <w:t xml:space="preserve"> 2.358).</w:t>
      </w:r>
    </w:p>
  </w:footnote>
  <w:footnote w:id="66">
    <w:p w14:paraId="02B675C9"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136 | </w:t>
      </w:r>
      <w:r w:rsidRPr="009E4B11">
        <w:rPr>
          <w:rFonts w:ascii="Times New Roman" w:hAnsi="Times New Roman"/>
          <w:i/>
          <w:iCs/>
        </w:rPr>
        <w:t xml:space="preserve">GW </w:t>
      </w:r>
      <w:r w:rsidRPr="009E4B11">
        <w:rPr>
          <w:rFonts w:ascii="Times New Roman" w:hAnsi="Times New Roman"/>
        </w:rPr>
        <w:t>4.48).</w:t>
      </w:r>
    </w:p>
  </w:footnote>
  <w:footnote w:id="67">
    <w:p w14:paraId="2CD13FCA"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w:t>
      </w:r>
      <w:r w:rsidRPr="009E4B11">
        <w:rPr>
          <w:rFonts w:ascii="Times New Roman" w:hAnsi="Times New Roman"/>
          <w:i/>
          <w:iCs/>
        </w:rPr>
        <w:t>Foundation of the Entire Wissenschaftslehre,</w:t>
      </w:r>
      <w:r w:rsidRPr="009E4B11">
        <w:rPr>
          <w:rFonts w:ascii="Times New Roman" w:hAnsi="Times New Roman"/>
        </w:rPr>
        <w:t xml:space="preserve"> 292 | </w:t>
      </w:r>
      <w:r w:rsidRPr="009E4B11">
        <w:rPr>
          <w:rFonts w:ascii="Times New Roman" w:hAnsi="Times New Roman"/>
          <w:i/>
          <w:iCs/>
        </w:rPr>
        <w:t>GA</w:t>
      </w:r>
      <w:r w:rsidRPr="009E4B11">
        <w:rPr>
          <w:rFonts w:ascii="Times New Roman" w:hAnsi="Times New Roman"/>
        </w:rPr>
        <w:t xml:space="preserve"> 2.355). </w:t>
      </w:r>
    </w:p>
  </w:footnote>
  <w:footnote w:id="68">
    <w:p w14:paraId="728902D2"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131 | </w:t>
      </w:r>
      <w:r w:rsidRPr="009E4B11">
        <w:rPr>
          <w:rFonts w:ascii="Times New Roman" w:hAnsi="Times New Roman"/>
          <w:i/>
          <w:iCs/>
        </w:rPr>
        <w:t xml:space="preserve">GW </w:t>
      </w:r>
      <w:r w:rsidRPr="009E4B11">
        <w:rPr>
          <w:rFonts w:ascii="Times New Roman" w:hAnsi="Times New Roman"/>
        </w:rPr>
        <w:t>4.44).</w:t>
      </w:r>
    </w:p>
  </w:footnote>
  <w:footnote w:id="69">
    <w:p w14:paraId="0D3E2C5A"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82 | </w:t>
      </w:r>
      <w:r w:rsidRPr="009E4B11">
        <w:rPr>
          <w:rFonts w:ascii="Times New Roman" w:hAnsi="Times New Roman"/>
          <w:i/>
          <w:iCs/>
        </w:rPr>
        <w:t xml:space="preserve">GW </w:t>
      </w:r>
      <w:r w:rsidRPr="009E4B11">
        <w:rPr>
          <w:rFonts w:ascii="Times New Roman" w:hAnsi="Times New Roman"/>
        </w:rPr>
        <w:t>4.7).</w:t>
      </w:r>
    </w:p>
  </w:footnote>
  <w:footnote w:id="70">
    <w:p w14:paraId="25382820"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81 | </w:t>
      </w:r>
      <w:r w:rsidRPr="009E4B11">
        <w:rPr>
          <w:rFonts w:ascii="Times New Roman" w:hAnsi="Times New Roman"/>
          <w:i/>
          <w:iCs/>
        </w:rPr>
        <w:t xml:space="preserve">GW </w:t>
      </w:r>
      <w:r w:rsidRPr="009E4B11">
        <w:rPr>
          <w:rFonts w:ascii="Times New Roman" w:hAnsi="Times New Roman"/>
        </w:rPr>
        <w:t>4.6).</w:t>
      </w:r>
    </w:p>
  </w:footnote>
  <w:footnote w:id="71">
    <w:p w14:paraId="76682CA3"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155 | </w:t>
      </w:r>
      <w:r w:rsidRPr="009E4B11">
        <w:rPr>
          <w:rFonts w:ascii="Times New Roman" w:hAnsi="Times New Roman"/>
          <w:i/>
          <w:iCs/>
        </w:rPr>
        <w:t xml:space="preserve">GW </w:t>
      </w:r>
      <w:r w:rsidRPr="009E4B11">
        <w:rPr>
          <w:rFonts w:ascii="Times New Roman" w:hAnsi="Times New Roman"/>
        </w:rPr>
        <w:t>4.62).</w:t>
      </w:r>
    </w:p>
  </w:footnote>
  <w:footnote w:id="72">
    <w:p w14:paraId="15856154"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155 | </w:t>
      </w:r>
      <w:r w:rsidRPr="009E4B11">
        <w:rPr>
          <w:rFonts w:ascii="Times New Roman" w:hAnsi="Times New Roman"/>
          <w:i/>
          <w:iCs/>
        </w:rPr>
        <w:t xml:space="preserve">GW </w:t>
      </w:r>
      <w:r w:rsidRPr="009E4B11">
        <w:rPr>
          <w:rFonts w:ascii="Times New Roman" w:hAnsi="Times New Roman"/>
        </w:rPr>
        <w:t>4.63).</w:t>
      </w:r>
    </w:p>
  </w:footnote>
  <w:footnote w:id="73">
    <w:p w14:paraId="38F38D96"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155 | </w:t>
      </w:r>
      <w:r w:rsidRPr="009E4B11">
        <w:rPr>
          <w:rFonts w:ascii="Times New Roman" w:hAnsi="Times New Roman"/>
          <w:i/>
          <w:iCs/>
        </w:rPr>
        <w:t xml:space="preserve">GW </w:t>
      </w:r>
      <w:r w:rsidRPr="009E4B11">
        <w:rPr>
          <w:rFonts w:ascii="Times New Roman" w:hAnsi="Times New Roman"/>
        </w:rPr>
        <w:t>4.63).</w:t>
      </w:r>
    </w:p>
  </w:footnote>
  <w:footnote w:id="74">
    <w:p w14:paraId="728B8490"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The Difference Between Fichte’s and Schelling’s Systems of Philosophy</w:t>
      </w:r>
      <w:r w:rsidRPr="009E4B11">
        <w:rPr>
          <w:rFonts w:ascii="Times New Roman" w:hAnsi="Times New Roman"/>
        </w:rPr>
        <w:t xml:space="preserve">, 156 | </w:t>
      </w:r>
      <w:r w:rsidRPr="009E4B11">
        <w:rPr>
          <w:rFonts w:ascii="Times New Roman" w:hAnsi="Times New Roman"/>
          <w:i/>
          <w:iCs/>
        </w:rPr>
        <w:t xml:space="preserve">GW </w:t>
      </w:r>
      <w:r w:rsidRPr="009E4B11">
        <w:rPr>
          <w:rFonts w:ascii="Times New Roman" w:hAnsi="Times New Roman"/>
        </w:rPr>
        <w:t>4.64).</w:t>
      </w:r>
    </w:p>
  </w:footnote>
  <w:footnote w:id="75">
    <w:p w14:paraId="2AE47992" w14:textId="59DD0FBF" w:rsidR="00E82C2D" w:rsidRPr="00936B1C" w:rsidRDefault="00E82C2D">
      <w:pPr>
        <w:pStyle w:val="FootnoteText"/>
        <w:rPr>
          <w:rFonts w:ascii="Times New Roman" w:hAnsi="Times New Roman"/>
        </w:rPr>
      </w:pPr>
      <w:r w:rsidRPr="00936B1C">
        <w:rPr>
          <w:rStyle w:val="FootnoteReference"/>
          <w:rFonts w:ascii="Times New Roman" w:hAnsi="Times New Roman"/>
        </w:rPr>
        <w:footnoteRef/>
      </w:r>
      <w:r w:rsidRPr="00936B1C">
        <w:rPr>
          <w:rFonts w:ascii="Times New Roman" w:hAnsi="Times New Roman"/>
        </w:rPr>
        <w:t xml:space="preserve"> Schelling (“Of the I as Principle of Philosophy,” 75-83). While an extensive reconstruction of Schelling’s interpretation of self-positing moves beyond the scope of this paper, these passages reveal that </w:t>
      </w:r>
      <w:proofErr w:type="gramStart"/>
      <w:r w:rsidRPr="00936B1C">
        <w:rPr>
          <w:rFonts w:ascii="Times New Roman" w:hAnsi="Times New Roman"/>
        </w:rPr>
        <w:t>Schelling</w:t>
      </w:r>
      <w:proofErr w:type="gramEnd"/>
      <w:r w:rsidRPr="00936B1C">
        <w:rPr>
          <w:rFonts w:ascii="Times New Roman" w:hAnsi="Times New Roman"/>
        </w:rPr>
        <w:t xml:space="preserve"> already in his early </w:t>
      </w:r>
      <w:proofErr w:type="gramStart"/>
      <w:r w:rsidRPr="00936B1C">
        <w:rPr>
          <w:rFonts w:ascii="Times New Roman" w:hAnsi="Times New Roman"/>
        </w:rPr>
        <w:t>period</w:t>
      </w:r>
      <w:proofErr w:type="gramEnd"/>
      <w:r w:rsidRPr="00936B1C">
        <w:rPr>
          <w:rFonts w:ascii="Times New Roman" w:hAnsi="Times New Roman"/>
        </w:rPr>
        <w:t xml:space="preserve"> thinks of the absolute I as akin to Spinozistic substance, i.e., the material cause of the world. </w:t>
      </w:r>
    </w:p>
  </w:footnote>
  <w:footnote w:id="76">
    <w:p w14:paraId="6D6976AE"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Fichte and Schelling (</w:t>
      </w:r>
      <w:r w:rsidRPr="009E4B11">
        <w:rPr>
          <w:rFonts w:ascii="Times New Roman" w:hAnsi="Times New Roman"/>
          <w:i/>
          <w:iCs/>
        </w:rPr>
        <w:t xml:space="preserve">The Philosophical Rupture between Fichte and Schelling, </w:t>
      </w:r>
      <w:r w:rsidRPr="009E4B11">
        <w:rPr>
          <w:rFonts w:ascii="Times New Roman" w:hAnsi="Times New Roman"/>
        </w:rPr>
        <w:t xml:space="preserve">65). </w:t>
      </w:r>
    </w:p>
  </w:footnote>
  <w:footnote w:id="77">
    <w:p w14:paraId="01FAE07C"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Schelling (</w:t>
      </w:r>
      <w:r w:rsidRPr="009E4B11">
        <w:rPr>
          <w:rFonts w:ascii="Times New Roman" w:hAnsi="Times New Roman"/>
          <w:i/>
          <w:iCs/>
        </w:rPr>
        <w:t xml:space="preserve">Bruno, </w:t>
      </w:r>
      <w:r w:rsidRPr="009E4B11">
        <w:rPr>
          <w:rFonts w:ascii="Times New Roman" w:hAnsi="Times New Roman"/>
        </w:rPr>
        <w:t xml:space="preserve">136): “…we must define this supreme identity as the identity of identity and opposition, or the identity of the self-identical and the nonidentical.” </w:t>
      </w:r>
    </w:p>
  </w:footnote>
  <w:footnote w:id="78">
    <w:p w14:paraId="733C759A" w14:textId="77777777" w:rsidR="00685CDC" w:rsidRPr="00E17F63" w:rsidRDefault="00685CDC" w:rsidP="00685CDC">
      <w:pPr>
        <w:pStyle w:val="FootnoteText"/>
        <w:jc w:val="both"/>
        <w:rPr>
          <w:rFonts w:ascii="Times New Roman" w:hAnsi="Times New Roman"/>
        </w:rPr>
      </w:pPr>
      <w:r w:rsidRPr="00E17F63">
        <w:rPr>
          <w:rStyle w:val="FootnoteReference"/>
          <w:rFonts w:ascii="Times New Roman" w:hAnsi="Times New Roman"/>
        </w:rPr>
        <w:footnoteRef/>
      </w:r>
      <w:r w:rsidRPr="00E17F63">
        <w:rPr>
          <w:rFonts w:ascii="Times New Roman" w:hAnsi="Times New Roman"/>
        </w:rPr>
        <w:t xml:space="preserve"> Hegel (</w:t>
      </w:r>
      <w:r>
        <w:rPr>
          <w:rFonts w:ascii="Times New Roman" w:hAnsi="Times New Roman"/>
          <w:i/>
          <w:iCs/>
        </w:rPr>
        <w:t xml:space="preserve">Lectures on the History of Philosophy, </w:t>
      </w:r>
      <w:r w:rsidRPr="00E17F63">
        <w:rPr>
          <w:rFonts w:ascii="Times New Roman" w:hAnsi="Times New Roman"/>
        </w:rPr>
        <w:t>493).</w:t>
      </w:r>
    </w:p>
  </w:footnote>
  <w:footnote w:id="79">
    <w:p w14:paraId="10829E7C" w14:textId="77777777" w:rsidR="00C23D59" w:rsidRPr="009E4B11" w:rsidRDefault="00C23D59" w:rsidP="00C23D59">
      <w:pPr>
        <w:pStyle w:val="FootnoteText"/>
        <w:jc w:val="both"/>
        <w:rPr>
          <w:rFonts w:ascii="Times New Roman" w:hAnsi="Times New Roman"/>
        </w:rPr>
      </w:pPr>
      <w:r w:rsidRPr="009E4B11">
        <w:rPr>
          <w:rStyle w:val="FootnoteReference"/>
          <w:rFonts w:ascii="Times New Roman" w:hAnsi="Times New Roman"/>
        </w:rPr>
        <w:footnoteRef/>
      </w:r>
      <w:r w:rsidRPr="009E4B11">
        <w:rPr>
          <w:rFonts w:ascii="Times New Roman" w:hAnsi="Times New Roman"/>
        </w:rPr>
        <w:t xml:space="preserve"> Hegel (</w:t>
      </w:r>
      <w:r w:rsidRPr="009E4B11">
        <w:rPr>
          <w:rFonts w:ascii="Times New Roman" w:hAnsi="Times New Roman"/>
          <w:i/>
          <w:iCs/>
        </w:rPr>
        <w:t xml:space="preserve">Science of Logic, </w:t>
      </w:r>
      <w:r w:rsidRPr="009E4B11">
        <w:rPr>
          <w:rFonts w:ascii="Times New Roman" w:hAnsi="Times New Roman"/>
        </w:rPr>
        <w:t xml:space="preserve">51 | </w:t>
      </w:r>
      <w:r w:rsidRPr="009E4B11">
        <w:rPr>
          <w:rFonts w:ascii="Times New Roman" w:hAnsi="Times New Roman"/>
          <w:i/>
          <w:iCs/>
        </w:rPr>
        <w:t>GW</w:t>
      </w:r>
      <w:r w:rsidRPr="009E4B11">
        <w:rPr>
          <w:rFonts w:ascii="Times New Roman" w:hAnsi="Times New Roman"/>
        </w:rPr>
        <w:t xml:space="preserve"> 21.60).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019520"/>
      <w:docPartObj>
        <w:docPartGallery w:val="Page Numbers (Top of Page)"/>
        <w:docPartUnique/>
      </w:docPartObj>
    </w:sdtPr>
    <w:sdtEndPr>
      <w:rPr>
        <w:noProof/>
      </w:rPr>
    </w:sdtEndPr>
    <w:sdtContent>
      <w:p w14:paraId="2B65E708" w14:textId="0FB37445" w:rsidR="00685CDC" w:rsidRDefault="00685CD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D24CE82" w14:textId="77777777" w:rsidR="00685CDC" w:rsidRDefault="00685C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D59"/>
    <w:rsid w:val="0001560F"/>
    <w:rsid w:val="00030B4D"/>
    <w:rsid w:val="00044FE4"/>
    <w:rsid w:val="000507CD"/>
    <w:rsid w:val="00055012"/>
    <w:rsid w:val="000B2347"/>
    <w:rsid w:val="000B5C57"/>
    <w:rsid w:val="000D0FBC"/>
    <w:rsid w:val="000E01B2"/>
    <w:rsid w:val="001042DA"/>
    <w:rsid w:val="00121B21"/>
    <w:rsid w:val="0014449C"/>
    <w:rsid w:val="001975F6"/>
    <w:rsid w:val="001C5B36"/>
    <w:rsid w:val="00201863"/>
    <w:rsid w:val="00207B41"/>
    <w:rsid w:val="00212AFC"/>
    <w:rsid w:val="00230214"/>
    <w:rsid w:val="002410F8"/>
    <w:rsid w:val="00250B33"/>
    <w:rsid w:val="00252BE3"/>
    <w:rsid w:val="002B4921"/>
    <w:rsid w:val="002D24CC"/>
    <w:rsid w:val="003114B1"/>
    <w:rsid w:val="0034279D"/>
    <w:rsid w:val="00363767"/>
    <w:rsid w:val="003B422E"/>
    <w:rsid w:val="003D2115"/>
    <w:rsid w:val="003E4739"/>
    <w:rsid w:val="00404CB5"/>
    <w:rsid w:val="00415D75"/>
    <w:rsid w:val="00426011"/>
    <w:rsid w:val="00443896"/>
    <w:rsid w:val="004754CE"/>
    <w:rsid w:val="00484AEC"/>
    <w:rsid w:val="004A57F6"/>
    <w:rsid w:val="004B7EBC"/>
    <w:rsid w:val="00551A79"/>
    <w:rsid w:val="00636944"/>
    <w:rsid w:val="00637863"/>
    <w:rsid w:val="0065798B"/>
    <w:rsid w:val="00661348"/>
    <w:rsid w:val="006615CE"/>
    <w:rsid w:val="00685CDC"/>
    <w:rsid w:val="00733CE4"/>
    <w:rsid w:val="007547F0"/>
    <w:rsid w:val="007A3BDC"/>
    <w:rsid w:val="007D77BF"/>
    <w:rsid w:val="007F0258"/>
    <w:rsid w:val="00814648"/>
    <w:rsid w:val="00817B71"/>
    <w:rsid w:val="008B2D36"/>
    <w:rsid w:val="008F7367"/>
    <w:rsid w:val="009073CA"/>
    <w:rsid w:val="0093450A"/>
    <w:rsid w:val="00936B1C"/>
    <w:rsid w:val="00941326"/>
    <w:rsid w:val="009E27A8"/>
    <w:rsid w:val="009E4B11"/>
    <w:rsid w:val="00A302D7"/>
    <w:rsid w:val="00A32636"/>
    <w:rsid w:val="00A32DAA"/>
    <w:rsid w:val="00A82491"/>
    <w:rsid w:val="00A83920"/>
    <w:rsid w:val="00A862CC"/>
    <w:rsid w:val="00AD6236"/>
    <w:rsid w:val="00B05E04"/>
    <w:rsid w:val="00B10A82"/>
    <w:rsid w:val="00B15728"/>
    <w:rsid w:val="00B351E3"/>
    <w:rsid w:val="00B67A39"/>
    <w:rsid w:val="00B9254B"/>
    <w:rsid w:val="00BA4C43"/>
    <w:rsid w:val="00BD00DE"/>
    <w:rsid w:val="00BD20AB"/>
    <w:rsid w:val="00C22698"/>
    <w:rsid w:val="00C23D59"/>
    <w:rsid w:val="00C3148E"/>
    <w:rsid w:val="00C50271"/>
    <w:rsid w:val="00C97F61"/>
    <w:rsid w:val="00CA44F4"/>
    <w:rsid w:val="00CB1347"/>
    <w:rsid w:val="00CD2A84"/>
    <w:rsid w:val="00CF2AF3"/>
    <w:rsid w:val="00D0124E"/>
    <w:rsid w:val="00D17900"/>
    <w:rsid w:val="00D3189E"/>
    <w:rsid w:val="00D346DF"/>
    <w:rsid w:val="00D347D2"/>
    <w:rsid w:val="00D40FB4"/>
    <w:rsid w:val="00D46B3B"/>
    <w:rsid w:val="00D87643"/>
    <w:rsid w:val="00DB3A81"/>
    <w:rsid w:val="00DD7E06"/>
    <w:rsid w:val="00E15CB7"/>
    <w:rsid w:val="00E47516"/>
    <w:rsid w:val="00E65C9F"/>
    <w:rsid w:val="00E81EA7"/>
    <w:rsid w:val="00E82C2D"/>
    <w:rsid w:val="00E95700"/>
    <w:rsid w:val="00EA61AC"/>
    <w:rsid w:val="00ED6DDE"/>
    <w:rsid w:val="00F02450"/>
    <w:rsid w:val="00F7112D"/>
    <w:rsid w:val="00F8526C"/>
    <w:rsid w:val="00FC5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5FF6EF"/>
  <w15:chartTrackingRefBased/>
  <w15:docId w15:val="{3EF8863A-6B5C-4547-B3DA-CD0ED2A3D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D59"/>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9073CA"/>
    <w:pPr>
      <w:keepNext/>
      <w:keepLines/>
      <w:overflowPunct/>
      <w:autoSpaceDE/>
      <w:autoSpaceDN/>
      <w:adjustRightInd/>
      <w:spacing w:line="480" w:lineRule="auto"/>
      <w:jc w:val="both"/>
      <w:textAlignment w:val="auto"/>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C23D59"/>
    <w:pPr>
      <w:keepNext/>
      <w:keepLines/>
      <w:overflowPunct/>
      <w:autoSpaceDE/>
      <w:autoSpaceDN/>
      <w:adjustRightInd/>
      <w:spacing w:line="480" w:lineRule="auto"/>
      <w:textAlignment w:val="auto"/>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C23D59"/>
    <w:pPr>
      <w:keepNext/>
      <w:keepLines/>
      <w:overflowPunct/>
      <w:autoSpaceDE/>
      <w:autoSpaceDN/>
      <w:adjustRightInd/>
      <w:spacing w:before="160" w:after="80"/>
      <w:textAlignment w:val="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3D59"/>
    <w:pPr>
      <w:keepNext/>
      <w:keepLines/>
      <w:overflowPunct/>
      <w:autoSpaceDE/>
      <w:autoSpaceDN/>
      <w:adjustRightInd/>
      <w:spacing w:before="80" w:after="40"/>
      <w:textAlignment w:val="auto"/>
      <w:outlineLvl w:val="3"/>
    </w:pPr>
    <w:rPr>
      <w:rFonts w:asciiTheme="minorHAnsi" w:eastAsiaTheme="majorEastAsia" w:hAnsiTheme="minorHAnsi" w:cstheme="majorBidi"/>
      <w:i/>
      <w:iCs/>
      <w:color w:val="0F4761" w:themeColor="accent1" w:themeShade="BF"/>
      <w:szCs w:val="22"/>
    </w:rPr>
  </w:style>
  <w:style w:type="paragraph" w:styleId="Heading5">
    <w:name w:val="heading 5"/>
    <w:basedOn w:val="Normal"/>
    <w:next w:val="Normal"/>
    <w:link w:val="Heading5Char"/>
    <w:uiPriority w:val="9"/>
    <w:semiHidden/>
    <w:unhideWhenUsed/>
    <w:qFormat/>
    <w:rsid w:val="00C23D59"/>
    <w:pPr>
      <w:keepNext/>
      <w:keepLines/>
      <w:overflowPunct/>
      <w:autoSpaceDE/>
      <w:autoSpaceDN/>
      <w:adjustRightInd/>
      <w:spacing w:before="80" w:after="40"/>
      <w:textAlignment w:val="auto"/>
      <w:outlineLvl w:val="4"/>
    </w:pPr>
    <w:rPr>
      <w:rFonts w:asciiTheme="minorHAnsi" w:eastAsiaTheme="majorEastAsia" w:hAnsiTheme="minorHAnsi" w:cstheme="majorBidi"/>
      <w:color w:val="0F4761" w:themeColor="accent1" w:themeShade="BF"/>
      <w:szCs w:val="22"/>
    </w:rPr>
  </w:style>
  <w:style w:type="paragraph" w:styleId="Heading6">
    <w:name w:val="heading 6"/>
    <w:basedOn w:val="Normal"/>
    <w:next w:val="Normal"/>
    <w:link w:val="Heading6Char"/>
    <w:uiPriority w:val="9"/>
    <w:semiHidden/>
    <w:unhideWhenUsed/>
    <w:qFormat/>
    <w:rsid w:val="00C23D59"/>
    <w:pPr>
      <w:keepNext/>
      <w:keepLines/>
      <w:overflowPunct/>
      <w:autoSpaceDE/>
      <w:autoSpaceDN/>
      <w:adjustRightInd/>
      <w:spacing w:before="40"/>
      <w:textAlignment w:val="auto"/>
      <w:outlineLvl w:val="5"/>
    </w:pPr>
    <w:rPr>
      <w:rFonts w:asciiTheme="minorHAnsi" w:eastAsiaTheme="majorEastAsia" w:hAnsiTheme="minorHAnsi" w:cstheme="majorBidi"/>
      <w:i/>
      <w:iCs/>
      <w:color w:val="595959" w:themeColor="text1" w:themeTint="A6"/>
      <w:szCs w:val="22"/>
    </w:rPr>
  </w:style>
  <w:style w:type="paragraph" w:styleId="Heading7">
    <w:name w:val="heading 7"/>
    <w:basedOn w:val="Normal"/>
    <w:next w:val="Normal"/>
    <w:link w:val="Heading7Char"/>
    <w:uiPriority w:val="9"/>
    <w:semiHidden/>
    <w:unhideWhenUsed/>
    <w:qFormat/>
    <w:rsid w:val="00C23D59"/>
    <w:pPr>
      <w:keepNext/>
      <w:keepLines/>
      <w:overflowPunct/>
      <w:autoSpaceDE/>
      <w:autoSpaceDN/>
      <w:adjustRightInd/>
      <w:spacing w:before="40"/>
      <w:textAlignment w:val="auto"/>
      <w:outlineLvl w:val="6"/>
    </w:pPr>
    <w:rPr>
      <w:rFonts w:asciiTheme="minorHAnsi" w:eastAsiaTheme="majorEastAsia" w:hAnsiTheme="minorHAnsi" w:cstheme="majorBidi"/>
      <w:color w:val="595959" w:themeColor="text1" w:themeTint="A6"/>
      <w:szCs w:val="22"/>
    </w:rPr>
  </w:style>
  <w:style w:type="paragraph" w:styleId="Heading8">
    <w:name w:val="heading 8"/>
    <w:basedOn w:val="Normal"/>
    <w:next w:val="Normal"/>
    <w:link w:val="Heading8Char"/>
    <w:uiPriority w:val="9"/>
    <w:semiHidden/>
    <w:unhideWhenUsed/>
    <w:qFormat/>
    <w:rsid w:val="00C23D59"/>
    <w:pPr>
      <w:keepNext/>
      <w:keepLines/>
      <w:overflowPunct/>
      <w:autoSpaceDE/>
      <w:autoSpaceDN/>
      <w:adjustRightInd/>
      <w:textAlignment w:val="auto"/>
      <w:outlineLvl w:val="7"/>
    </w:pPr>
    <w:rPr>
      <w:rFonts w:asciiTheme="minorHAnsi" w:eastAsiaTheme="majorEastAsia" w:hAnsiTheme="minorHAnsi" w:cstheme="majorBidi"/>
      <w:i/>
      <w:iCs/>
      <w:color w:val="272727" w:themeColor="text1" w:themeTint="D8"/>
      <w:szCs w:val="22"/>
    </w:rPr>
  </w:style>
  <w:style w:type="paragraph" w:styleId="Heading9">
    <w:name w:val="heading 9"/>
    <w:basedOn w:val="Normal"/>
    <w:next w:val="Normal"/>
    <w:link w:val="Heading9Char"/>
    <w:uiPriority w:val="9"/>
    <w:semiHidden/>
    <w:unhideWhenUsed/>
    <w:qFormat/>
    <w:rsid w:val="00C23D59"/>
    <w:pPr>
      <w:keepNext/>
      <w:keepLines/>
      <w:overflowPunct/>
      <w:autoSpaceDE/>
      <w:autoSpaceDN/>
      <w:adjustRightInd/>
      <w:textAlignment w:val="auto"/>
      <w:outlineLvl w:val="8"/>
    </w:pPr>
    <w:rPr>
      <w:rFonts w:asciiTheme="minorHAnsi" w:eastAsiaTheme="majorEastAsia" w:hAnsiTheme="minorHAnsi" w:cstheme="majorBidi"/>
      <w:color w:val="272727" w:themeColor="text1" w:themeTint="D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3CA"/>
    <w:rPr>
      <w:rFonts w:ascii="Times New Roman" w:eastAsiaTheme="majorEastAsia" w:hAnsi="Times New Roman" w:cstheme="majorBidi"/>
      <w:b/>
      <w:kern w:val="0"/>
      <w:sz w:val="24"/>
      <w:szCs w:val="32"/>
      <w14:ligatures w14:val="none"/>
    </w:rPr>
  </w:style>
  <w:style w:type="character" w:customStyle="1" w:styleId="Heading2Char">
    <w:name w:val="Heading 2 Char"/>
    <w:basedOn w:val="DefaultParagraphFont"/>
    <w:link w:val="Heading2"/>
    <w:uiPriority w:val="9"/>
    <w:rsid w:val="00C23D59"/>
    <w:rPr>
      <w:rFonts w:ascii="Times New Roman" w:eastAsiaTheme="majorEastAsia" w:hAnsi="Times New Roman" w:cstheme="majorBidi"/>
      <w:b/>
      <w:kern w:val="0"/>
      <w:sz w:val="24"/>
      <w:szCs w:val="26"/>
      <w14:ligatures w14:val="none"/>
    </w:rPr>
  </w:style>
  <w:style w:type="character" w:customStyle="1" w:styleId="Heading3Char">
    <w:name w:val="Heading 3 Char"/>
    <w:basedOn w:val="DefaultParagraphFont"/>
    <w:link w:val="Heading3"/>
    <w:uiPriority w:val="9"/>
    <w:semiHidden/>
    <w:rsid w:val="00C23D59"/>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C23D59"/>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C23D59"/>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C23D59"/>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C23D59"/>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C23D59"/>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C23D59"/>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C23D59"/>
    <w:pPr>
      <w:overflowPunct/>
      <w:autoSpaceDE/>
      <w:autoSpaceDN/>
      <w:adjustRightInd/>
      <w:spacing w:after="80"/>
      <w:contextualSpacing/>
      <w:textAlignment w:val="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D59"/>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C23D59"/>
    <w:pPr>
      <w:numPr>
        <w:ilvl w:val="1"/>
      </w:numPr>
      <w:overflowPunct/>
      <w:autoSpaceDE/>
      <w:autoSpaceDN/>
      <w:adjustRightInd/>
      <w:spacing w:after="160"/>
      <w:textAlignment w:val="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3D59"/>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C23D59"/>
    <w:pPr>
      <w:overflowPunct/>
      <w:autoSpaceDE/>
      <w:autoSpaceDN/>
      <w:adjustRightInd/>
      <w:spacing w:before="160" w:after="160"/>
      <w:jc w:val="center"/>
      <w:textAlignment w:val="auto"/>
    </w:pPr>
    <w:rPr>
      <w:rFonts w:eastAsiaTheme="minorHAnsi" w:cstheme="minorBidi"/>
      <w:i/>
      <w:iCs/>
      <w:color w:val="404040" w:themeColor="text1" w:themeTint="BF"/>
      <w:szCs w:val="22"/>
    </w:rPr>
  </w:style>
  <w:style w:type="character" w:customStyle="1" w:styleId="QuoteChar">
    <w:name w:val="Quote Char"/>
    <w:basedOn w:val="DefaultParagraphFont"/>
    <w:link w:val="Quote"/>
    <w:uiPriority w:val="29"/>
    <w:rsid w:val="00C23D59"/>
    <w:rPr>
      <w:rFonts w:ascii="Times New Roman" w:hAnsi="Times New Roman"/>
      <w:i/>
      <w:iCs/>
      <w:color w:val="404040" w:themeColor="text1" w:themeTint="BF"/>
      <w:kern w:val="0"/>
      <w:sz w:val="24"/>
      <w14:ligatures w14:val="none"/>
    </w:rPr>
  </w:style>
  <w:style w:type="paragraph" w:styleId="ListParagraph">
    <w:name w:val="List Paragraph"/>
    <w:basedOn w:val="Normal"/>
    <w:uiPriority w:val="34"/>
    <w:qFormat/>
    <w:rsid w:val="00C23D59"/>
    <w:pPr>
      <w:overflowPunct/>
      <w:autoSpaceDE/>
      <w:autoSpaceDN/>
      <w:adjustRightInd/>
      <w:ind w:left="720"/>
      <w:contextualSpacing/>
      <w:textAlignment w:val="auto"/>
    </w:pPr>
    <w:rPr>
      <w:rFonts w:eastAsiaTheme="minorHAnsi" w:cstheme="minorBidi"/>
      <w:szCs w:val="22"/>
    </w:rPr>
  </w:style>
  <w:style w:type="character" w:styleId="IntenseEmphasis">
    <w:name w:val="Intense Emphasis"/>
    <w:basedOn w:val="DefaultParagraphFont"/>
    <w:uiPriority w:val="21"/>
    <w:qFormat/>
    <w:rsid w:val="00C23D59"/>
    <w:rPr>
      <w:i/>
      <w:iCs/>
      <w:color w:val="0F4761" w:themeColor="accent1" w:themeShade="BF"/>
    </w:rPr>
  </w:style>
  <w:style w:type="paragraph" w:styleId="IntenseQuote">
    <w:name w:val="Intense Quote"/>
    <w:basedOn w:val="Normal"/>
    <w:next w:val="Normal"/>
    <w:link w:val="IntenseQuoteChar"/>
    <w:uiPriority w:val="30"/>
    <w:qFormat/>
    <w:rsid w:val="00C23D59"/>
    <w:pPr>
      <w:pBdr>
        <w:top w:val="single" w:sz="4" w:space="10" w:color="0F4761" w:themeColor="accent1" w:themeShade="BF"/>
        <w:bottom w:val="single" w:sz="4" w:space="10" w:color="0F4761" w:themeColor="accent1" w:themeShade="BF"/>
      </w:pBdr>
      <w:overflowPunct/>
      <w:autoSpaceDE/>
      <w:autoSpaceDN/>
      <w:adjustRightInd/>
      <w:spacing w:before="360" w:after="360"/>
      <w:ind w:left="864" w:right="864"/>
      <w:jc w:val="center"/>
      <w:textAlignment w:val="auto"/>
    </w:pPr>
    <w:rPr>
      <w:rFonts w:eastAsiaTheme="minorHAnsi" w:cstheme="minorBidi"/>
      <w:i/>
      <w:iCs/>
      <w:color w:val="0F4761" w:themeColor="accent1" w:themeShade="BF"/>
      <w:szCs w:val="22"/>
    </w:rPr>
  </w:style>
  <w:style w:type="character" w:customStyle="1" w:styleId="IntenseQuoteChar">
    <w:name w:val="Intense Quote Char"/>
    <w:basedOn w:val="DefaultParagraphFont"/>
    <w:link w:val="IntenseQuote"/>
    <w:uiPriority w:val="30"/>
    <w:rsid w:val="00C23D59"/>
    <w:rPr>
      <w:rFonts w:ascii="Times New Roman" w:hAnsi="Times New Roman"/>
      <w:i/>
      <w:iCs/>
      <w:color w:val="0F4761" w:themeColor="accent1" w:themeShade="BF"/>
      <w:kern w:val="0"/>
      <w:sz w:val="24"/>
      <w14:ligatures w14:val="none"/>
    </w:rPr>
  </w:style>
  <w:style w:type="character" w:styleId="IntenseReference">
    <w:name w:val="Intense Reference"/>
    <w:basedOn w:val="DefaultParagraphFont"/>
    <w:uiPriority w:val="32"/>
    <w:qFormat/>
    <w:rsid w:val="00C23D59"/>
    <w:rPr>
      <w:b/>
      <w:bCs/>
      <w:smallCaps/>
      <w:color w:val="0F4761" w:themeColor="accent1" w:themeShade="BF"/>
      <w:spacing w:val="5"/>
    </w:rPr>
  </w:style>
  <w:style w:type="paragraph" w:styleId="FootnoteText">
    <w:name w:val="footnote text"/>
    <w:basedOn w:val="Normal"/>
    <w:link w:val="FootnoteTextChar"/>
    <w:uiPriority w:val="99"/>
    <w:semiHidden/>
    <w:unhideWhenUsed/>
    <w:rsid w:val="00C23D59"/>
    <w:pPr>
      <w:overflowPunct/>
      <w:autoSpaceDE/>
      <w:autoSpaceDN/>
      <w:adjustRightInd/>
      <w:textAlignment w:val="auto"/>
    </w:pPr>
    <w:rPr>
      <w:rFonts w:ascii="Garamond" w:eastAsia="Aptos" w:hAnsi="Garamond"/>
      <w:sz w:val="20"/>
    </w:rPr>
  </w:style>
  <w:style w:type="character" w:customStyle="1" w:styleId="FootnoteTextChar">
    <w:name w:val="Footnote Text Char"/>
    <w:basedOn w:val="DefaultParagraphFont"/>
    <w:link w:val="FootnoteText"/>
    <w:uiPriority w:val="99"/>
    <w:semiHidden/>
    <w:rsid w:val="00C23D59"/>
    <w:rPr>
      <w:rFonts w:ascii="Garamond" w:eastAsia="Aptos" w:hAnsi="Garamond" w:cs="Times New Roman"/>
      <w:kern w:val="0"/>
      <w:sz w:val="20"/>
      <w:szCs w:val="20"/>
      <w14:ligatures w14:val="none"/>
    </w:rPr>
  </w:style>
  <w:style w:type="character" w:styleId="FootnoteReference">
    <w:name w:val="footnote reference"/>
    <w:uiPriority w:val="99"/>
    <w:semiHidden/>
    <w:unhideWhenUsed/>
    <w:rsid w:val="00C23D59"/>
    <w:rPr>
      <w:vertAlign w:val="superscript"/>
    </w:rPr>
  </w:style>
  <w:style w:type="paragraph" w:styleId="Revision">
    <w:name w:val="Revision"/>
    <w:hidden/>
    <w:uiPriority w:val="99"/>
    <w:semiHidden/>
    <w:rsid w:val="00A32636"/>
    <w:pPr>
      <w:spacing w:after="0" w:line="240" w:lineRule="auto"/>
    </w:pPr>
    <w:rPr>
      <w:rFonts w:ascii="Times New Roman" w:eastAsia="Times New Roman" w:hAnsi="Times New Roman" w:cs="Times New Roman"/>
      <w:kern w:val="0"/>
      <w:sz w:val="24"/>
      <w:szCs w:val="20"/>
      <w14:ligatures w14:val="none"/>
    </w:rPr>
  </w:style>
  <w:style w:type="paragraph" w:styleId="Header">
    <w:name w:val="header"/>
    <w:basedOn w:val="Normal"/>
    <w:link w:val="HeaderChar"/>
    <w:uiPriority w:val="99"/>
    <w:unhideWhenUsed/>
    <w:rsid w:val="00685CDC"/>
    <w:pPr>
      <w:tabs>
        <w:tab w:val="center" w:pos="4680"/>
        <w:tab w:val="right" w:pos="9360"/>
      </w:tabs>
    </w:pPr>
  </w:style>
  <w:style w:type="character" w:customStyle="1" w:styleId="HeaderChar">
    <w:name w:val="Header Char"/>
    <w:basedOn w:val="DefaultParagraphFont"/>
    <w:link w:val="Header"/>
    <w:uiPriority w:val="99"/>
    <w:rsid w:val="00685CDC"/>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685CDC"/>
    <w:pPr>
      <w:tabs>
        <w:tab w:val="center" w:pos="4680"/>
        <w:tab w:val="right" w:pos="9360"/>
      </w:tabs>
    </w:pPr>
  </w:style>
  <w:style w:type="character" w:customStyle="1" w:styleId="FooterChar">
    <w:name w:val="Footer Char"/>
    <w:basedOn w:val="DefaultParagraphFont"/>
    <w:link w:val="Footer"/>
    <w:uiPriority w:val="99"/>
    <w:rsid w:val="00685CDC"/>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5765C-733D-4673-9A52-0BE6B01B7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37</Pages>
  <Words>10849</Words>
  <Characters>56418</Characters>
  <Application>Microsoft Office Word</Application>
  <DocSecurity>0</DocSecurity>
  <Lines>762</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Penelope Haulotte</dc:creator>
  <cp:keywords/>
  <dc:description/>
  <cp:lastModifiedBy>Penelope Haulotte</cp:lastModifiedBy>
  <cp:revision>5</cp:revision>
  <dcterms:created xsi:type="dcterms:W3CDTF">2026-09-26T13:02:00Z</dcterms:created>
  <dcterms:modified xsi:type="dcterms:W3CDTF">2026-09-26T16:30:00Z</dcterms:modified>
</cp:coreProperties>
</file>